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5973" w14:textId="77777777" w:rsidR="003464BD" w:rsidRPr="004C74D1" w:rsidRDefault="003464BD" w:rsidP="003464BD">
      <w:pPr>
        <w:spacing w:after="0" w:line="360" w:lineRule="auto"/>
        <w:jc w:val="both"/>
        <w:rPr>
          <w:rFonts w:asciiTheme="minorBidi" w:eastAsia="Times New Roman" w:hAnsiTheme="minorBidi"/>
          <w:kern w:val="0"/>
          <w:sz w:val="24"/>
          <w:szCs w:val="24"/>
          <w:lang w:eastAsia="es-ES"/>
          <w14:ligatures w14:val="none"/>
        </w:rPr>
      </w:pPr>
    </w:p>
    <w:p w14:paraId="3C44D4D4" w14:textId="6BCA2965" w:rsidR="00BB08AC" w:rsidRDefault="00A03C1A" w:rsidP="00BB08AC">
      <w:pPr>
        <w:pStyle w:val="Encabezado"/>
        <w:jc w:val="right"/>
        <w:rPr>
          <w:rFonts w:asciiTheme="minorBidi" w:hAnsiTheme="minorBidi"/>
          <w:sz w:val="26"/>
        </w:rPr>
      </w:pPr>
      <w:r>
        <w:rPr>
          <w:rFonts w:asciiTheme="minorBidi" w:hAnsiTheme="minorBidi"/>
          <w:sz w:val="26"/>
        </w:rPr>
        <w:t>13.06.2</w:t>
      </w:r>
      <w:r w:rsidR="00E863FF">
        <w:rPr>
          <w:rFonts w:asciiTheme="minorBidi" w:hAnsiTheme="minorBidi"/>
          <w:sz w:val="26"/>
        </w:rPr>
        <w:t>6</w:t>
      </w:r>
    </w:p>
    <w:p w14:paraId="30DF5B50" w14:textId="77777777" w:rsidR="00E863FF" w:rsidRPr="004C74D1" w:rsidRDefault="00E863FF" w:rsidP="00BB08AC">
      <w:pPr>
        <w:pStyle w:val="Encabezado"/>
        <w:jc w:val="right"/>
        <w:rPr>
          <w:rFonts w:asciiTheme="minorBidi" w:hAnsiTheme="minorBidi" w:cstheme="minorBidi"/>
          <w:sz w:val="26"/>
          <w:szCs w:val="26"/>
        </w:rPr>
      </w:pPr>
    </w:p>
    <w:p w14:paraId="7CCC14BF" w14:textId="77777777" w:rsidR="00BB08AC" w:rsidRPr="004C74D1" w:rsidRDefault="00BB08AC" w:rsidP="003464BD">
      <w:pPr>
        <w:spacing w:after="0" w:line="360" w:lineRule="auto"/>
        <w:jc w:val="center"/>
        <w:outlineLvl w:val="0"/>
        <w:rPr>
          <w:rFonts w:asciiTheme="minorBidi" w:eastAsia="Times New Roman" w:hAnsiTheme="minorBidi"/>
          <w:kern w:val="0"/>
          <w:sz w:val="26"/>
          <w:szCs w:val="26"/>
          <w:lang w:eastAsia="es-ES"/>
          <w14:ligatures w14:val="none"/>
        </w:rPr>
      </w:pPr>
    </w:p>
    <w:p w14:paraId="03B050D8" w14:textId="5D3CB3D7" w:rsidR="003464BD" w:rsidRPr="004C74D1" w:rsidRDefault="003464BD" w:rsidP="003464BD">
      <w:pPr>
        <w:spacing w:after="0" w:line="360" w:lineRule="auto"/>
        <w:jc w:val="center"/>
        <w:outlineLvl w:val="0"/>
        <w:rPr>
          <w:rFonts w:asciiTheme="minorBidi" w:eastAsia="Times New Roman" w:hAnsiTheme="minorBidi"/>
          <w:kern w:val="0"/>
          <w:sz w:val="26"/>
          <w:szCs w:val="26"/>
          <w14:ligatures w14:val="none"/>
        </w:rPr>
      </w:pPr>
      <w:r>
        <w:rPr>
          <w:rFonts w:asciiTheme="minorBidi" w:hAnsiTheme="minorBidi"/>
          <w:sz w:val="26"/>
        </w:rPr>
        <w:t>SPEECH BY THE CHIEF EXECUTIVE OFFICER OF</w:t>
      </w:r>
    </w:p>
    <w:p w14:paraId="1E1A2D90" w14:textId="77777777" w:rsidR="003464BD" w:rsidRPr="00E863FF" w:rsidRDefault="003464BD" w:rsidP="003464BD">
      <w:pPr>
        <w:spacing w:after="0" w:line="360" w:lineRule="auto"/>
        <w:ind w:left="-737" w:right="-737"/>
        <w:jc w:val="center"/>
        <w:rPr>
          <w:rFonts w:asciiTheme="minorBidi" w:eastAsia="Times New Roman" w:hAnsiTheme="minorBidi"/>
          <w:kern w:val="0"/>
          <w:sz w:val="26"/>
          <w:szCs w:val="26"/>
          <w:lang w:val="es-ES"/>
          <w14:ligatures w14:val="none"/>
        </w:rPr>
      </w:pPr>
      <w:r w:rsidRPr="00E863FF">
        <w:rPr>
          <w:rFonts w:asciiTheme="minorBidi" w:hAnsiTheme="minorBidi"/>
          <w:sz w:val="26"/>
          <w:lang w:val="es-ES"/>
        </w:rPr>
        <w:t>CONSTRUCCIONES Y AUXILIAR DE FERROCARRILES, S.A. (C.A.F.),</w:t>
      </w:r>
    </w:p>
    <w:p w14:paraId="6D529E8A" w14:textId="77777777" w:rsidR="003464BD" w:rsidRPr="004C74D1" w:rsidRDefault="003464BD" w:rsidP="003464BD">
      <w:pPr>
        <w:spacing w:after="0" w:line="360" w:lineRule="auto"/>
        <w:ind w:left="-737" w:right="-737"/>
        <w:jc w:val="center"/>
        <w:rPr>
          <w:rFonts w:asciiTheme="minorBidi" w:eastAsia="Times New Roman" w:hAnsiTheme="minorBidi"/>
          <w:kern w:val="0"/>
          <w:sz w:val="26"/>
          <w:szCs w:val="26"/>
          <w14:ligatures w14:val="none"/>
        </w:rPr>
      </w:pPr>
      <w:r>
        <w:rPr>
          <w:rFonts w:asciiTheme="minorBidi" w:hAnsiTheme="minorBidi"/>
          <w:sz w:val="26"/>
        </w:rPr>
        <w:t>MR. JAVIER MARTINEZ OJINAGA</w:t>
      </w:r>
    </w:p>
    <w:p w14:paraId="1598FAF0" w14:textId="77777777" w:rsidR="003464BD" w:rsidRPr="004C74D1" w:rsidRDefault="003464BD" w:rsidP="003464BD">
      <w:pPr>
        <w:spacing w:after="0" w:line="360" w:lineRule="auto"/>
        <w:jc w:val="center"/>
        <w:rPr>
          <w:rFonts w:asciiTheme="minorBidi" w:eastAsia="Times New Roman" w:hAnsiTheme="minorBidi"/>
          <w:kern w:val="0"/>
          <w:sz w:val="26"/>
          <w:szCs w:val="26"/>
          <w14:ligatures w14:val="none"/>
        </w:rPr>
      </w:pPr>
      <w:r>
        <w:rPr>
          <w:rFonts w:asciiTheme="minorBidi" w:hAnsiTheme="minorBidi"/>
          <w:sz w:val="26"/>
        </w:rPr>
        <w:t>AT THE GENERAL SHAREHOLDERS’ MEETING.</w:t>
      </w:r>
    </w:p>
    <w:p w14:paraId="28DF84C2" w14:textId="16C1E902" w:rsidR="003464BD" w:rsidRPr="004C74D1" w:rsidRDefault="003464BD" w:rsidP="003464BD">
      <w:pPr>
        <w:spacing w:after="0" w:line="360" w:lineRule="auto"/>
        <w:jc w:val="center"/>
        <w:outlineLvl w:val="0"/>
        <w:rPr>
          <w:rFonts w:asciiTheme="minorBidi" w:eastAsia="Times New Roman" w:hAnsiTheme="minorBidi"/>
          <w:kern w:val="0"/>
          <w:sz w:val="26"/>
          <w:szCs w:val="26"/>
          <w14:ligatures w14:val="none"/>
        </w:rPr>
      </w:pPr>
      <w:r>
        <w:rPr>
          <w:rFonts w:asciiTheme="minorBidi" w:hAnsiTheme="minorBidi"/>
          <w:sz w:val="26"/>
        </w:rPr>
        <w:t>FINANCIAL YEAR 2025.</w:t>
      </w:r>
    </w:p>
    <w:p w14:paraId="1AB297F7" w14:textId="77777777" w:rsidR="003464BD" w:rsidRPr="004C74D1" w:rsidRDefault="003464BD" w:rsidP="008B228E">
      <w:pPr>
        <w:rPr>
          <w:rFonts w:asciiTheme="minorBidi" w:hAnsiTheme="minorBidi"/>
          <w:sz w:val="26"/>
          <w:szCs w:val="26"/>
        </w:rPr>
      </w:pPr>
    </w:p>
    <w:p w14:paraId="08CED470" w14:textId="77777777" w:rsidR="00E56EE0" w:rsidRPr="004C74D1" w:rsidRDefault="00E56EE0" w:rsidP="00E56EE0">
      <w:pPr>
        <w:pStyle w:val="Ttulo"/>
        <w:spacing w:line="360" w:lineRule="auto"/>
        <w:jc w:val="both"/>
        <w:rPr>
          <w:rFonts w:asciiTheme="minorBidi" w:hAnsiTheme="minorBidi" w:cstheme="minorBidi"/>
          <w:i/>
          <w:sz w:val="26"/>
          <w:szCs w:val="26"/>
        </w:rPr>
      </w:pPr>
    </w:p>
    <w:p w14:paraId="01B886C3" w14:textId="2CCF89F6" w:rsidR="00E56EE0" w:rsidRPr="004C74D1" w:rsidRDefault="00E56EE0" w:rsidP="00E56EE0">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[Introduction]</w:t>
      </w:r>
    </w:p>
    <w:p w14:paraId="073EFB91" w14:textId="4F7FD631" w:rsidR="00256B42" w:rsidRPr="004C74D1" w:rsidRDefault="008B228E" w:rsidP="00256B42">
      <w:pPr>
        <w:spacing w:line="360" w:lineRule="auto"/>
        <w:jc w:val="both"/>
        <w:rPr>
          <w:rFonts w:asciiTheme="minorBidi" w:hAnsiTheme="minorBidi"/>
          <w:sz w:val="26"/>
          <w:szCs w:val="26"/>
        </w:rPr>
      </w:pPr>
      <w:r>
        <w:rPr>
          <w:rFonts w:asciiTheme="minorBidi" w:hAnsiTheme="minorBidi"/>
          <w:sz w:val="26"/>
        </w:rPr>
        <w:t>Good morning, shareholders, ladies and gentlemen, and thank you very much for joining us once again this year for this General Shareholders’ Meeting.</w:t>
      </w:r>
    </w:p>
    <w:p w14:paraId="1645A5B2" w14:textId="497AACC6" w:rsidR="00256B42" w:rsidRPr="004C74D1" w:rsidRDefault="0012488E" w:rsidP="007245B1">
      <w:pPr>
        <w:spacing w:line="360" w:lineRule="auto"/>
        <w:jc w:val="both"/>
        <w:rPr>
          <w:rFonts w:asciiTheme="minorBidi" w:hAnsiTheme="minorBidi"/>
          <w:sz w:val="26"/>
          <w:szCs w:val="26"/>
        </w:rPr>
      </w:pPr>
      <w:r>
        <w:rPr>
          <w:rFonts w:asciiTheme="minorBidi" w:hAnsiTheme="minorBidi"/>
          <w:sz w:val="26"/>
        </w:rPr>
        <w:t>Today, I will walk you through our 2025 financial results, sharing our vision for the company’s current standing, and explaining how we are building CAF’s future upon a strong, profitable, and sustainable industrial foundation.</w:t>
      </w:r>
    </w:p>
    <w:p w14:paraId="3EE185A0" w14:textId="6E1AE70F" w:rsidR="007245B1" w:rsidRPr="004C74D1" w:rsidRDefault="00256B42" w:rsidP="007245B1">
      <w:pPr>
        <w:spacing w:line="360" w:lineRule="auto"/>
        <w:jc w:val="both"/>
        <w:rPr>
          <w:rFonts w:asciiTheme="minorBidi" w:hAnsiTheme="minorBidi"/>
          <w:sz w:val="26"/>
          <w:szCs w:val="26"/>
        </w:rPr>
      </w:pPr>
      <w:r>
        <w:rPr>
          <w:rFonts w:asciiTheme="minorBidi" w:hAnsiTheme="minorBidi"/>
          <w:sz w:val="26"/>
        </w:rPr>
        <w:t xml:space="preserve">I would like to begin with a brief reflection. </w:t>
      </w:r>
    </w:p>
    <w:p w14:paraId="70D2F774" w14:textId="370AACAB" w:rsidR="000879A6" w:rsidRDefault="000879A6" w:rsidP="001B2BCB">
      <w:pPr>
        <w:spacing w:line="360" w:lineRule="auto"/>
        <w:jc w:val="both"/>
        <w:rPr>
          <w:rFonts w:asciiTheme="minorBidi" w:hAnsiTheme="minorBidi"/>
          <w:sz w:val="26"/>
          <w:szCs w:val="26"/>
        </w:rPr>
      </w:pPr>
      <w:r>
        <w:rPr>
          <w:rFonts w:asciiTheme="minorBidi" w:hAnsiTheme="minorBidi"/>
          <w:sz w:val="26"/>
        </w:rPr>
        <w:t xml:space="preserve">Recent years have played out against a complex backdrop of geopolitical tensions, macroeconomic adjustments, and the quickening pace of technological and regulatory change. </w:t>
      </w:r>
    </w:p>
    <w:p w14:paraId="66096C5C" w14:textId="503F93DF" w:rsidR="001B2BCB" w:rsidRPr="004C74D1" w:rsidRDefault="0012488E" w:rsidP="001B2BCB">
      <w:pPr>
        <w:spacing w:line="360" w:lineRule="auto"/>
        <w:jc w:val="both"/>
        <w:rPr>
          <w:rFonts w:asciiTheme="minorBidi" w:hAnsiTheme="minorBidi"/>
          <w:sz w:val="26"/>
          <w:szCs w:val="26"/>
        </w:rPr>
      </w:pPr>
      <w:r>
        <w:rPr>
          <w:rFonts w:asciiTheme="minorBidi" w:hAnsiTheme="minorBidi"/>
          <w:sz w:val="26"/>
        </w:rPr>
        <w:t>This is an environment that calls for prudence, discipline, and a clear strategic vision.</w:t>
      </w:r>
    </w:p>
    <w:p w14:paraId="655978EC" w14:textId="097C943B" w:rsidR="001B2BCB" w:rsidRPr="004C74D1" w:rsidRDefault="0067651E" w:rsidP="00F8396E">
      <w:pPr>
        <w:spacing w:line="360" w:lineRule="auto"/>
        <w:jc w:val="both"/>
        <w:rPr>
          <w:rFonts w:asciiTheme="minorBidi" w:hAnsiTheme="minorBidi"/>
          <w:sz w:val="26"/>
          <w:szCs w:val="26"/>
        </w:rPr>
      </w:pPr>
      <w:r>
        <w:rPr>
          <w:rFonts w:asciiTheme="minorBidi" w:hAnsiTheme="minorBidi"/>
          <w:sz w:val="26"/>
        </w:rPr>
        <w:t xml:space="preserve">Against this backdrop, CAF has continued to move forward with unwavering determination. The Group’s performance has not only been </w:t>
      </w:r>
      <w:proofErr w:type="gramStart"/>
      <w:r>
        <w:rPr>
          <w:rFonts w:asciiTheme="minorBidi" w:hAnsiTheme="minorBidi"/>
          <w:sz w:val="26"/>
        </w:rPr>
        <w:t>positive, but</w:t>
      </w:r>
      <w:proofErr w:type="gramEnd"/>
      <w:r>
        <w:rPr>
          <w:rFonts w:asciiTheme="minorBidi" w:hAnsiTheme="minorBidi"/>
          <w:sz w:val="26"/>
        </w:rPr>
        <w:t xml:space="preserve"> has demonstrated the strength of our industrial model and the consistency of previous strategic decisions.</w:t>
      </w:r>
    </w:p>
    <w:p w14:paraId="63951608" w14:textId="17B3F222" w:rsidR="0067651E" w:rsidRPr="004C74D1" w:rsidRDefault="0012488E" w:rsidP="00F8396E">
      <w:pPr>
        <w:spacing w:line="360" w:lineRule="auto"/>
        <w:jc w:val="both"/>
        <w:rPr>
          <w:rFonts w:asciiTheme="minorBidi" w:hAnsiTheme="minorBidi"/>
          <w:sz w:val="26"/>
          <w:szCs w:val="26"/>
        </w:rPr>
      </w:pPr>
      <w:r>
        <w:rPr>
          <w:rFonts w:asciiTheme="minorBidi" w:hAnsiTheme="minorBidi"/>
          <w:sz w:val="26"/>
        </w:rPr>
        <w:lastRenderedPageBreak/>
        <w:t xml:space="preserve">However, we must accept that volatility is now a structural mainstay of the environment in which we operate. We are operating in a less predictable context, where risks can materialise rapidly and on a systemic scale, fundamentally reshaping the landscape of global competition. </w:t>
      </w:r>
    </w:p>
    <w:p w14:paraId="725846D6" w14:textId="0A3A6D7A" w:rsidR="0067651E" w:rsidRPr="004C74D1" w:rsidRDefault="0067651E" w:rsidP="00427564">
      <w:pPr>
        <w:spacing w:line="360" w:lineRule="auto"/>
        <w:jc w:val="both"/>
        <w:rPr>
          <w:rFonts w:asciiTheme="minorBidi" w:hAnsiTheme="minorBidi"/>
          <w:sz w:val="26"/>
          <w:szCs w:val="26"/>
        </w:rPr>
      </w:pPr>
      <w:r>
        <w:rPr>
          <w:rFonts w:asciiTheme="minorBidi" w:hAnsiTheme="minorBidi"/>
          <w:sz w:val="26"/>
        </w:rPr>
        <w:t>Leading companies are transforming their operations to manage this variability, building the flexibility needed to protect both their activity and margins. They are also aligning their decisions with the realities of industrial geopolitics, implementing targeted growth and investment strategies tailored to each region.</w:t>
      </w:r>
    </w:p>
    <w:p w14:paraId="54217765" w14:textId="4659C895" w:rsidR="00DE0C58" w:rsidRPr="004C74D1" w:rsidRDefault="00DE0C58" w:rsidP="0067651E">
      <w:pPr>
        <w:spacing w:line="360" w:lineRule="auto"/>
        <w:jc w:val="both"/>
        <w:rPr>
          <w:rFonts w:asciiTheme="minorBidi" w:hAnsiTheme="minorBidi"/>
          <w:sz w:val="26"/>
          <w:szCs w:val="26"/>
        </w:rPr>
      </w:pPr>
      <w:r>
        <w:rPr>
          <w:rFonts w:asciiTheme="minorBidi" w:hAnsiTheme="minorBidi"/>
          <w:sz w:val="26"/>
        </w:rPr>
        <w:t>This is the very approach that guides CAF’s current actions.</w:t>
      </w:r>
    </w:p>
    <w:p w14:paraId="2564349B" w14:textId="47DC83B9" w:rsidR="00256B42" w:rsidRPr="004C74D1" w:rsidRDefault="00256B42" w:rsidP="003F7116">
      <w:pPr>
        <w:spacing w:line="360" w:lineRule="auto"/>
        <w:rPr>
          <w:rFonts w:asciiTheme="minorBidi" w:hAnsiTheme="minorBidi"/>
          <w:i/>
          <w:iCs/>
          <w:color w:val="7F7F7F"/>
          <w:sz w:val="26"/>
          <w:szCs w:val="26"/>
        </w:rPr>
      </w:pPr>
      <w:r>
        <w:rPr>
          <w:rFonts w:asciiTheme="minorBidi" w:hAnsiTheme="minorBidi"/>
          <w:i/>
          <w:color w:val="7F7F7F"/>
          <w:sz w:val="26"/>
        </w:rPr>
        <w:t>Financial Results: Growth, Profitability, and Resilience</w:t>
      </w:r>
    </w:p>
    <w:p w14:paraId="1EAC9B09" w14:textId="489F77D7" w:rsidR="007A0F7B" w:rsidRPr="004C74D1" w:rsidRDefault="00427564" w:rsidP="007A0F7B">
      <w:pPr>
        <w:spacing w:line="360" w:lineRule="auto"/>
        <w:jc w:val="both"/>
        <w:rPr>
          <w:rFonts w:asciiTheme="minorBidi" w:hAnsiTheme="minorBidi"/>
          <w:sz w:val="26"/>
          <w:szCs w:val="26"/>
        </w:rPr>
      </w:pPr>
      <w:r>
        <w:rPr>
          <w:rFonts w:asciiTheme="minorBidi" w:hAnsiTheme="minorBidi"/>
          <w:sz w:val="26"/>
        </w:rPr>
        <w:t xml:space="preserve">Turning now to our performance, 2025 was a year of profitable growth, strategic momentum, and reinforced confidence among our customers, employees, and shareholders. </w:t>
      </w:r>
    </w:p>
    <w:p w14:paraId="266D36A8" w14:textId="69626482" w:rsidR="0009261E" w:rsidRPr="004C74D1" w:rsidRDefault="00FA3441" w:rsidP="00256B42">
      <w:pPr>
        <w:spacing w:line="360" w:lineRule="auto"/>
        <w:jc w:val="both"/>
        <w:rPr>
          <w:rFonts w:asciiTheme="minorBidi" w:hAnsiTheme="minorBidi"/>
          <w:sz w:val="26"/>
          <w:szCs w:val="26"/>
        </w:rPr>
      </w:pPr>
      <w:r>
        <w:rPr>
          <w:rFonts w:asciiTheme="minorBidi" w:hAnsiTheme="minorBidi"/>
          <w:sz w:val="26"/>
        </w:rPr>
        <w:t xml:space="preserve">The Group achieved a revenue of €4.487 billion, representing a 7% increase over the previous year. </w:t>
      </w:r>
    </w:p>
    <w:p w14:paraId="1042E186" w14:textId="7D70DBA9"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This growth was not the result of temporary or exceptional factors but rather was driven by a balanced evolution of our business, underpinned by a robust order intake, efficient execution, and a diversification of both geography and technology - factors that continue to serve as stabilising pillars.</w:t>
      </w:r>
    </w:p>
    <w:p w14:paraId="32AB1A41" w14:textId="77777777" w:rsidR="0009261E" w:rsidRPr="004C74D1" w:rsidRDefault="00256B42" w:rsidP="00256B42">
      <w:pPr>
        <w:spacing w:line="360" w:lineRule="auto"/>
        <w:jc w:val="both"/>
        <w:rPr>
          <w:rFonts w:asciiTheme="minorBidi" w:hAnsiTheme="minorBidi"/>
          <w:sz w:val="26"/>
          <w:szCs w:val="26"/>
        </w:rPr>
      </w:pPr>
      <w:r>
        <w:rPr>
          <w:rFonts w:asciiTheme="minorBidi" w:hAnsiTheme="minorBidi"/>
          <w:sz w:val="26"/>
        </w:rPr>
        <w:t xml:space="preserve">Even more significant was our improved profitability. </w:t>
      </w:r>
    </w:p>
    <w:p w14:paraId="70D28288" w14:textId="24EE0E93"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Operating profit (EBIT) rose by 14%, increasing our margin to 5.5%, up from 5.1% the year prior. This expansion reflects the higher quality of our order backlog, more disciplined project execution, and the effect of the efficiency measures that have been implemented.</w:t>
      </w:r>
    </w:p>
    <w:p w14:paraId="56E685BA" w14:textId="53CA1F97"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lastRenderedPageBreak/>
        <w:t xml:space="preserve">Net profit reached €146 million - a 42% increase compared to 2024. This figure is particularly </w:t>
      </w:r>
      <w:proofErr w:type="gramStart"/>
      <w:r>
        <w:rPr>
          <w:rFonts w:asciiTheme="minorBidi" w:hAnsiTheme="minorBidi"/>
          <w:sz w:val="26"/>
        </w:rPr>
        <w:t>telling:</w:t>
      </w:r>
      <w:proofErr w:type="gramEnd"/>
      <w:r>
        <w:rPr>
          <w:rFonts w:asciiTheme="minorBidi" w:hAnsiTheme="minorBidi"/>
          <w:sz w:val="26"/>
        </w:rPr>
        <w:t xml:space="preserve"> it demonstrates our ability to convert growth into results, and results into tangible value for our shareholders.</w:t>
      </w:r>
    </w:p>
    <w:p w14:paraId="5CE48407" w14:textId="77777777" w:rsidR="008D3FD0" w:rsidRDefault="00256B42" w:rsidP="00256B42">
      <w:pPr>
        <w:spacing w:line="360" w:lineRule="auto"/>
        <w:jc w:val="both"/>
        <w:rPr>
          <w:rFonts w:asciiTheme="minorBidi" w:hAnsiTheme="minorBidi"/>
          <w:sz w:val="26"/>
          <w:szCs w:val="26"/>
        </w:rPr>
      </w:pPr>
      <w:r>
        <w:rPr>
          <w:rFonts w:asciiTheme="minorBidi" w:hAnsiTheme="minorBidi"/>
          <w:sz w:val="26"/>
        </w:rPr>
        <w:t xml:space="preserve">From a financial standpoint, the Group’s position has clearly strengthened. Our capital structure remains solid and well-balanced. </w:t>
      </w:r>
    </w:p>
    <w:p w14:paraId="64A5272E" w14:textId="1C66CB81"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The net debt-to-EBITDA ratio fell to 0.5x by the 2025 year-end. This represents an improvement on last year and provides us with considerable financial flexibility for the future.</w:t>
      </w:r>
    </w:p>
    <w:p w14:paraId="2EDCFE28" w14:textId="331AC782"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Reflecting this balance sheet strength and our commitment to shareholder remuneration, the Board of Directors is proposing an increased dividend of up to €1.52 per share - a 14% rise. This proposal is fully aligned with our dividend policy and the strong performance delivered throughout the year.</w:t>
      </w:r>
    </w:p>
    <w:p w14:paraId="548C778B" w14:textId="28DA18D6" w:rsidR="00EB1382" w:rsidRPr="004C74D1" w:rsidRDefault="00EB1382" w:rsidP="00EB1382">
      <w:pPr>
        <w:spacing w:line="360" w:lineRule="auto"/>
        <w:jc w:val="both"/>
        <w:rPr>
          <w:rFonts w:asciiTheme="minorBidi" w:hAnsiTheme="minorBidi"/>
          <w:sz w:val="26"/>
          <w:szCs w:val="26"/>
        </w:rPr>
      </w:pPr>
      <w:r>
        <w:rPr>
          <w:rFonts w:asciiTheme="minorBidi" w:hAnsiTheme="minorBidi"/>
          <w:sz w:val="26"/>
        </w:rPr>
        <w:t>I would also like to highlight that this performance has been clearly reflected in our stock market performance. In 2025, CAF’s share price increased by 69%, significantly outperforming the market. This reflects the investment community’s deep confidence in our results, the clarity of our strategy, and our ongoing ability to generate sustainable, long-term value.</w:t>
      </w:r>
    </w:p>
    <w:p w14:paraId="308BC584" w14:textId="45C59F81" w:rsidR="00256B42" w:rsidRPr="004C74D1" w:rsidRDefault="0009261E" w:rsidP="0009261E">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 xml:space="preserve"> [Commercial activity and backlog: visibility and stability]</w:t>
      </w:r>
    </w:p>
    <w:p w14:paraId="7D251B1D" w14:textId="72C27915"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2025 was an exceptional year from a commercial perspective.</w:t>
      </w:r>
    </w:p>
    <w:p w14:paraId="138E104A" w14:textId="2E183649"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Our order intake exceeded €6 billion - a 28% increase over the previous year. This confirms not only the dynamism of our markets but also the confidence our customers place in CAF’s technological and industrial capabilities.</w:t>
      </w:r>
    </w:p>
    <w:p w14:paraId="4C1397F6" w14:textId="31EE0978"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As a result, our backlog reached a new all-time high of €16.235 billion in December 2025, climbing further to nearly €18 billion by the close of the first quarter of this year. This backlog represents four times our annual revenues, providing exceptional visibility for future income and a rock-solid foundation for continued profitability.</w:t>
      </w:r>
    </w:p>
    <w:p w14:paraId="26B9913C" w14:textId="56E2ACF1" w:rsidR="00256B42" w:rsidRPr="004C74D1" w:rsidRDefault="00FB0794" w:rsidP="00256B42">
      <w:pPr>
        <w:spacing w:line="360" w:lineRule="auto"/>
        <w:jc w:val="both"/>
        <w:rPr>
          <w:rFonts w:asciiTheme="minorBidi" w:hAnsiTheme="minorBidi"/>
          <w:sz w:val="26"/>
          <w:szCs w:val="26"/>
        </w:rPr>
      </w:pPr>
      <w:r>
        <w:rPr>
          <w:rFonts w:asciiTheme="minorBidi" w:hAnsiTheme="minorBidi"/>
          <w:sz w:val="26"/>
        </w:rPr>
        <w:lastRenderedPageBreak/>
        <w:t>Furthermore, the balanced composition of this backlog across geographies and segments shields us from risks and strengthens the Group’s resilience against potential adverse market cycles.</w:t>
      </w:r>
    </w:p>
    <w:p w14:paraId="78E1264A" w14:textId="290A042B" w:rsidR="0009261E" w:rsidRPr="004C74D1" w:rsidRDefault="0009261E" w:rsidP="0009261E">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[Strategic milestones: contracts that mark a turning point]</w:t>
      </w:r>
    </w:p>
    <w:p w14:paraId="10DCD627" w14:textId="23AA6069" w:rsidR="0009261E" w:rsidRPr="004C74D1" w:rsidRDefault="004750F4" w:rsidP="0009261E">
      <w:pPr>
        <w:spacing w:line="360" w:lineRule="auto"/>
        <w:jc w:val="both"/>
        <w:rPr>
          <w:rFonts w:asciiTheme="minorBidi" w:hAnsiTheme="minorBidi"/>
          <w:sz w:val="26"/>
          <w:szCs w:val="26"/>
        </w:rPr>
      </w:pPr>
      <w:r>
        <w:rPr>
          <w:rFonts w:asciiTheme="minorBidi" w:hAnsiTheme="minorBidi"/>
          <w:sz w:val="26"/>
        </w:rPr>
        <w:t>2025 was also defined by key contract awards and projects that carry immense strategic weight beyond their financial impact. Contracts that mark a turning point. True milestones.</w:t>
      </w:r>
    </w:p>
    <w:p w14:paraId="6A9D0F2B" w14:textId="428053AF" w:rsidR="00256B42" w:rsidRPr="004C74D1" w:rsidRDefault="00256B42" w:rsidP="00256B42">
      <w:pPr>
        <w:spacing w:line="360" w:lineRule="auto"/>
        <w:jc w:val="both"/>
        <w:rPr>
          <w:rFonts w:asciiTheme="minorBidi" w:hAnsiTheme="minorBidi"/>
          <w:sz w:val="26"/>
          <w:szCs w:val="26"/>
        </w:rPr>
      </w:pPr>
      <w:proofErr w:type="gramStart"/>
      <w:r>
        <w:rPr>
          <w:rFonts w:asciiTheme="minorBidi" w:hAnsiTheme="minorBidi"/>
          <w:sz w:val="26"/>
        </w:rPr>
        <w:t>First of all</w:t>
      </w:r>
      <w:proofErr w:type="gramEnd"/>
      <w:r>
        <w:rPr>
          <w:rFonts w:asciiTheme="minorBidi" w:hAnsiTheme="minorBidi"/>
          <w:sz w:val="26"/>
        </w:rPr>
        <w:t xml:space="preserve">, I would like to highlight the award of the largest contract in the Group’s history, </w:t>
      </w:r>
      <w:proofErr w:type="gramStart"/>
      <w:r>
        <w:rPr>
          <w:rFonts w:asciiTheme="minorBidi" w:hAnsiTheme="minorBidi"/>
          <w:sz w:val="26"/>
        </w:rPr>
        <w:t>entered into</w:t>
      </w:r>
      <w:proofErr w:type="gramEnd"/>
      <w:r>
        <w:rPr>
          <w:rFonts w:asciiTheme="minorBidi" w:hAnsiTheme="minorBidi"/>
          <w:sz w:val="26"/>
        </w:rPr>
        <w:t xml:space="preserve"> with the Belgian railway operator SNCB. This landmark agreement provides for the initial supply of 180 trains valued at €1.7 billion, with options that could expand the fleet to 380 units. This contract solidifies our presence in one of Europe’s most demanding markets and serves as a strong endorsement of the confidence that major operators place in our value proposition.</w:t>
      </w:r>
    </w:p>
    <w:p w14:paraId="265BD64A" w14:textId="6AD010E8"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 xml:space="preserve">We also achieved significant breakthroughs in automation and </w:t>
      </w:r>
      <w:proofErr w:type="spellStart"/>
      <w:r>
        <w:rPr>
          <w:rFonts w:asciiTheme="minorBidi" w:hAnsiTheme="minorBidi"/>
          <w:sz w:val="26"/>
        </w:rPr>
        <w:t>signaling</w:t>
      </w:r>
      <w:proofErr w:type="spellEnd"/>
      <w:r>
        <w:rPr>
          <w:rFonts w:asciiTheme="minorBidi" w:hAnsiTheme="minorBidi"/>
          <w:sz w:val="26"/>
        </w:rPr>
        <w:t xml:space="preserve">. This includes flagship projects such as the upgrading of the Helsinki metro with our CBTC GoA2 technology, and the new Naples metro, where we are participating in the design and implementation of an integrated system that includes the highest level of automated operation: GoA4. </w:t>
      </w:r>
    </w:p>
    <w:p w14:paraId="2C389D6A" w14:textId="01C0F4D9"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Meanwhile, in North America, we continue expanding our footprint with major contracts in the United States and Canada, particularly in the zero-emission bus segment, reinforcing our leadership in providing sustainable urban mobility solutions.</w:t>
      </w:r>
    </w:p>
    <w:p w14:paraId="12FBBEC2" w14:textId="1A334060"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These milestones were not achieved by chance. They are the direct outcome of groundwork to strengthen our capacities, as well as a clear strategy: positioning the Group as a comprehensive mobility solution provider, capable of delivering products, technology and services throughout the entire lifecycle.</w:t>
      </w:r>
    </w:p>
    <w:p w14:paraId="1A32CF72" w14:textId="77777777" w:rsidR="002A4210" w:rsidRPr="004C74D1" w:rsidRDefault="002A4210" w:rsidP="002A4210">
      <w:pPr>
        <w:pStyle w:val="Ttulo"/>
        <w:spacing w:line="360" w:lineRule="auto"/>
        <w:jc w:val="both"/>
        <w:rPr>
          <w:rFonts w:asciiTheme="minorBidi" w:hAnsiTheme="minorBidi" w:cstheme="minorBidi"/>
          <w:sz w:val="26"/>
          <w:szCs w:val="26"/>
        </w:rPr>
      </w:pPr>
      <w:r>
        <w:rPr>
          <w:rFonts w:asciiTheme="minorBidi" w:hAnsiTheme="minorBidi"/>
          <w:i/>
          <w:color w:val="7F7F7F"/>
          <w:sz w:val="26"/>
        </w:rPr>
        <w:t>[People and organization: the foundation of success]</w:t>
      </w:r>
    </w:p>
    <w:p w14:paraId="2A4D0D46" w14:textId="4E375ADB" w:rsidR="002A4210" w:rsidRPr="004C74D1" w:rsidRDefault="002A4210" w:rsidP="002A4210">
      <w:pPr>
        <w:spacing w:line="360" w:lineRule="auto"/>
        <w:jc w:val="both"/>
        <w:rPr>
          <w:rFonts w:asciiTheme="minorBidi" w:hAnsiTheme="minorBidi"/>
          <w:sz w:val="26"/>
          <w:szCs w:val="26"/>
        </w:rPr>
      </w:pPr>
      <w:r>
        <w:rPr>
          <w:rFonts w:asciiTheme="minorBidi" w:hAnsiTheme="minorBidi"/>
          <w:sz w:val="26"/>
        </w:rPr>
        <w:lastRenderedPageBreak/>
        <w:t>None of these results presented today would have been possible without the commitment and contribution of the 18 thousand people who make up this Group worldwide.</w:t>
      </w:r>
    </w:p>
    <w:p w14:paraId="1CFAE2B7" w14:textId="38168F26" w:rsidR="00C138B2" w:rsidRPr="004C74D1" w:rsidRDefault="00C138B2" w:rsidP="002A4210">
      <w:pPr>
        <w:spacing w:line="360" w:lineRule="auto"/>
        <w:jc w:val="both"/>
        <w:rPr>
          <w:rFonts w:asciiTheme="minorBidi" w:hAnsiTheme="minorBidi"/>
          <w:sz w:val="26"/>
          <w:szCs w:val="26"/>
        </w:rPr>
      </w:pPr>
      <w:r>
        <w:rPr>
          <w:rFonts w:asciiTheme="minorBidi" w:hAnsiTheme="minorBidi"/>
          <w:sz w:val="26"/>
        </w:rPr>
        <w:t>Their daily dedication is the single most important asset supporting our industrial project. The technical expertise and commitment of our teams are our key differentiators; they are what reinforce customer confidence and sustain the Group’s competitive edge in the world's most demanding markets.</w:t>
      </w:r>
    </w:p>
    <w:p w14:paraId="69030D7F" w14:textId="7F027FF8" w:rsidR="002A4210" w:rsidRPr="004C74D1" w:rsidRDefault="00FB0794" w:rsidP="002A4210">
      <w:pPr>
        <w:spacing w:line="360" w:lineRule="auto"/>
        <w:jc w:val="both"/>
        <w:rPr>
          <w:rFonts w:asciiTheme="minorBidi" w:hAnsiTheme="minorBidi"/>
          <w:sz w:val="26"/>
          <w:szCs w:val="26"/>
        </w:rPr>
      </w:pPr>
      <w:r>
        <w:rPr>
          <w:rFonts w:asciiTheme="minorBidi" w:hAnsiTheme="minorBidi"/>
          <w:sz w:val="26"/>
        </w:rPr>
        <w:t>Throughout 2025, we continued investing in talent, training, and occupational health and safety, promoting a corporate culture based on excellence, innovation, diversity and teamwork.</w:t>
      </w:r>
    </w:p>
    <w:p w14:paraId="35299D86" w14:textId="7EFCE792" w:rsidR="002A4210" w:rsidRDefault="002A4210" w:rsidP="002A4210">
      <w:pPr>
        <w:spacing w:line="360" w:lineRule="auto"/>
        <w:jc w:val="both"/>
        <w:rPr>
          <w:rFonts w:asciiTheme="minorBidi" w:hAnsiTheme="minorBidi"/>
          <w:sz w:val="26"/>
          <w:szCs w:val="26"/>
        </w:rPr>
      </w:pPr>
      <w:r>
        <w:rPr>
          <w:rFonts w:asciiTheme="minorBidi" w:hAnsiTheme="minorBidi"/>
          <w:sz w:val="26"/>
        </w:rPr>
        <w:t>I would like to take this opportunity to express my sincere thanks to the entire organisation for its tireless efforts, and to our customers and partners for the trust they continue to place in us.</w:t>
      </w:r>
    </w:p>
    <w:p w14:paraId="4FE6FB30" w14:textId="0F6F06D2" w:rsidR="00256B42" w:rsidRPr="004C74D1" w:rsidRDefault="0009261E" w:rsidP="0009261E">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[Sustainability and ESG: responsible growth and long-term commitment]</w:t>
      </w:r>
    </w:p>
    <w:p w14:paraId="08B71186" w14:textId="52AC57FA" w:rsidR="002A07F6" w:rsidRPr="004C74D1" w:rsidRDefault="00FB0794" w:rsidP="002A07F6">
      <w:pPr>
        <w:spacing w:line="360" w:lineRule="auto"/>
        <w:jc w:val="both"/>
        <w:rPr>
          <w:rFonts w:asciiTheme="minorBidi" w:hAnsiTheme="minorBidi"/>
          <w:sz w:val="26"/>
          <w:szCs w:val="26"/>
        </w:rPr>
      </w:pPr>
      <w:r>
        <w:rPr>
          <w:rFonts w:asciiTheme="minorBidi" w:hAnsiTheme="minorBidi"/>
          <w:sz w:val="26"/>
        </w:rPr>
        <w:t>We firmly believe that long-term value is only possible when built upon responsible growth - growth that respects the social, environmental, and economic impact of every decision we make.</w:t>
      </w:r>
    </w:p>
    <w:p w14:paraId="6B3F3F4B" w14:textId="77777777"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Sustainability is a structural pillar of CAF's Group strategy, rather than just an ancillary consideration.</w:t>
      </w:r>
    </w:p>
    <w:p w14:paraId="746C1ECC" w14:textId="77777777"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We made systemic progress in reducing our environmental footprint over the course of 2025. Despite the significant increase in our industrial activity, we successfully reduced absolute Scope 1 and 2 emissions by 30%, and Scope 3 emissions by 43% against our 2019 baseline.</w:t>
      </w:r>
    </w:p>
    <w:p w14:paraId="72E6705E" w14:textId="77777777"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These results bring us closer to achieving our goal of climate neutrality by 2045, and reflect our rigorous, data-driven approach and specific actions.</w:t>
      </w:r>
    </w:p>
    <w:p w14:paraId="0D71B485" w14:textId="012508E1"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 xml:space="preserve">Furthermore, as the Chairman has pointed out, we continue to reinforce our governance and compliance </w:t>
      </w:r>
      <w:proofErr w:type="gramStart"/>
      <w:r>
        <w:rPr>
          <w:rFonts w:asciiTheme="minorBidi" w:hAnsiTheme="minorBidi"/>
          <w:sz w:val="26"/>
        </w:rPr>
        <w:t>frameworks</w:t>
      </w:r>
      <w:proofErr w:type="gramEnd"/>
      <w:r>
        <w:rPr>
          <w:rFonts w:asciiTheme="minorBidi" w:hAnsiTheme="minorBidi"/>
          <w:sz w:val="26"/>
        </w:rPr>
        <w:t xml:space="preserve"> and we are committed to the </w:t>
      </w:r>
      <w:r>
        <w:rPr>
          <w:rFonts w:asciiTheme="minorBidi" w:hAnsiTheme="minorBidi"/>
          <w:sz w:val="26"/>
        </w:rPr>
        <w:lastRenderedPageBreak/>
        <w:t>highest standards of transparency and to providing the market with non-financial reporting of the absolute highest quality.</w:t>
      </w:r>
    </w:p>
    <w:p w14:paraId="4507334C" w14:textId="77777777" w:rsidR="002A4210" w:rsidRPr="004C74D1" w:rsidRDefault="002A4210" w:rsidP="002A4210">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[Execution of the 2026 Strategic Plan: Targets Achieved Ahead of Schedule]</w:t>
      </w:r>
    </w:p>
    <w:p w14:paraId="4047BF21" w14:textId="41BEF6A1" w:rsidR="002A4210" w:rsidRPr="004C74D1" w:rsidRDefault="002A4210" w:rsidP="002A4210">
      <w:pPr>
        <w:spacing w:line="360" w:lineRule="auto"/>
        <w:jc w:val="both"/>
        <w:rPr>
          <w:rFonts w:asciiTheme="minorBidi" w:hAnsiTheme="minorBidi"/>
          <w:sz w:val="26"/>
          <w:szCs w:val="26"/>
        </w:rPr>
      </w:pPr>
      <w:r>
        <w:rPr>
          <w:rFonts w:asciiTheme="minorBidi" w:hAnsiTheme="minorBidi"/>
          <w:sz w:val="26"/>
        </w:rPr>
        <w:t>One of the most important messages I want to convey today is that the Group is delivering on the primary objectives of our 2026 Strategic Plan.</w:t>
      </w:r>
    </w:p>
    <w:p w14:paraId="45374C68" w14:textId="68B7B862" w:rsidR="00681389" w:rsidRPr="004C74D1" w:rsidRDefault="002A4210" w:rsidP="002A4210">
      <w:pPr>
        <w:spacing w:line="360" w:lineRule="auto"/>
        <w:jc w:val="both"/>
        <w:rPr>
          <w:rFonts w:asciiTheme="minorBidi" w:hAnsiTheme="minorBidi"/>
          <w:sz w:val="26"/>
          <w:szCs w:val="26"/>
        </w:rPr>
      </w:pPr>
      <w:r>
        <w:rPr>
          <w:rFonts w:asciiTheme="minorBidi" w:hAnsiTheme="minorBidi"/>
          <w:sz w:val="26"/>
        </w:rPr>
        <w:t xml:space="preserve">Throughout this cycle, we have worked intensively to refine our processes, improve our industrial capabilities, and invest in both technology and talent, while simplifying the organization to ensure it is more agile and efficient. </w:t>
      </w:r>
    </w:p>
    <w:p w14:paraId="024D0BF2" w14:textId="0C99FDD1" w:rsidR="002A4210" w:rsidRPr="004C74D1" w:rsidRDefault="002A4210" w:rsidP="002A4210">
      <w:pPr>
        <w:spacing w:line="360" w:lineRule="auto"/>
        <w:jc w:val="both"/>
        <w:rPr>
          <w:rFonts w:asciiTheme="minorBidi" w:hAnsiTheme="minorBidi"/>
          <w:sz w:val="26"/>
          <w:szCs w:val="26"/>
        </w:rPr>
      </w:pPr>
      <w:r>
        <w:rPr>
          <w:rFonts w:asciiTheme="minorBidi" w:hAnsiTheme="minorBidi"/>
          <w:sz w:val="26"/>
        </w:rPr>
        <w:t>The results achieved in 2025 are the direct consequence of this collective effort.</w:t>
      </w:r>
    </w:p>
    <w:p w14:paraId="67A1595A" w14:textId="501739BD" w:rsidR="00681389" w:rsidRPr="004C74D1" w:rsidRDefault="008D33BB" w:rsidP="002A4210">
      <w:pPr>
        <w:spacing w:line="360" w:lineRule="auto"/>
        <w:jc w:val="both"/>
        <w:rPr>
          <w:rFonts w:asciiTheme="minorBidi" w:hAnsiTheme="minorBidi"/>
          <w:sz w:val="26"/>
          <w:szCs w:val="26"/>
        </w:rPr>
      </w:pPr>
      <w:r>
        <w:rPr>
          <w:rFonts w:asciiTheme="minorBidi" w:hAnsiTheme="minorBidi"/>
          <w:sz w:val="26"/>
        </w:rPr>
        <w:t xml:space="preserve">CAF’s rail business continues to demonstrate a formidable competitive position. This is built on technological leadership, industrial capacity and commercial discipline, with a clear commitment to solutions that drive rail transport decarbonisation and digitalisation. </w:t>
      </w:r>
    </w:p>
    <w:p w14:paraId="08E3B086" w14:textId="14AAF43C" w:rsidR="00C53517" w:rsidRPr="004C74D1" w:rsidRDefault="00C53517" w:rsidP="00C53517">
      <w:pPr>
        <w:spacing w:line="360" w:lineRule="auto"/>
        <w:jc w:val="both"/>
        <w:rPr>
          <w:rFonts w:asciiTheme="minorBidi" w:hAnsiTheme="minorBidi"/>
          <w:sz w:val="26"/>
          <w:szCs w:val="26"/>
        </w:rPr>
      </w:pPr>
      <w:r>
        <w:rPr>
          <w:rFonts w:asciiTheme="minorBidi" w:hAnsiTheme="minorBidi"/>
          <w:sz w:val="26"/>
        </w:rPr>
        <w:t xml:space="preserve">This foundation underpins SPARK 2030, the far-reaching transformation programme we have launched in our rolling stock business to structurally strengthen our competitiveness, profitability and execution capabilities over the coming decade. </w:t>
      </w:r>
    </w:p>
    <w:p w14:paraId="21F7BE87" w14:textId="70853139" w:rsidR="00C53517" w:rsidRPr="004C74D1" w:rsidRDefault="006A5B03" w:rsidP="00C65516">
      <w:pPr>
        <w:spacing w:line="360" w:lineRule="auto"/>
        <w:jc w:val="both"/>
        <w:rPr>
          <w:rFonts w:asciiTheme="minorBidi" w:hAnsiTheme="minorBidi"/>
          <w:sz w:val="26"/>
          <w:szCs w:val="26"/>
        </w:rPr>
      </w:pPr>
      <w:r>
        <w:rPr>
          <w:rFonts w:asciiTheme="minorBidi" w:hAnsiTheme="minorBidi"/>
          <w:sz w:val="26"/>
        </w:rPr>
        <w:t>In addition to this, the expansion of our Services business represents another vital strategic lever for the Group. This allows us to support operators throughout the entire lifecycle of their assets, securing recurring, stable revenues while improving customer relationships through an expert understanding of their fleets and operational needs. At a structural level, this improves the value mix and protects the Group against volatility in an increasingly demanding climate.</w:t>
      </w:r>
    </w:p>
    <w:p w14:paraId="3C293B82" w14:textId="77777777" w:rsidR="00466245" w:rsidRDefault="00466245" w:rsidP="00171A03">
      <w:pPr>
        <w:spacing w:line="360" w:lineRule="auto"/>
        <w:jc w:val="both"/>
        <w:rPr>
          <w:rFonts w:asciiTheme="minorBidi" w:hAnsiTheme="minorBidi"/>
          <w:sz w:val="26"/>
          <w:szCs w:val="26"/>
        </w:rPr>
      </w:pPr>
      <w:r>
        <w:rPr>
          <w:rFonts w:asciiTheme="minorBidi" w:hAnsiTheme="minorBidi"/>
          <w:sz w:val="26"/>
        </w:rPr>
        <w:t xml:space="preserve">The signalling business follows the same strategic logic and continues to strengthen its contribution to the Group as a whole. </w:t>
      </w:r>
    </w:p>
    <w:p w14:paraId="78EAD555" w14:textId="28681638" w:rsidR="00685B28" w:rsidRPr="004C74D1" w:rsidRDefault="00685B28" w:rsidP="00171A03">
      <w:pPr>
        <w:spacing w:line="360" w:lineRule="auto"/>
        <w:jc w:val="both"/>
        <w:rPr>
          <w:rFonts w:asciiTheme="minorBidi" w:hAnsiTheme="minorBidi"/>
          <w:sz w:val="26"/>
          <w:szCs w:val="26"/>
        </w:rPr>
      </w:pPr>
      <w:r>
        <w:rPr>
          <w:rFonts w:asciiTheme="minorBidi" w:hAnsiTheme="minorBidi"/>
          <w:sz w:val="26"/>
        </w:rPr>
        <w:lastRenderedPageBreak/>
        <w:t>CAF Signalling has grown in both revenue and profitability, consolidating a technological position that naturally complements our rail activities.</w:t>
      </w:r>
    </w:p>
    <w:p w14:paraId="34317362" w14:textId="6915A47E" w:rsidR="00EB6272" w:rsidRPr="004C74D1" w:rsidRDefault="00171A03" w:rsidP="002A4210">
      <w:pPr>
        <w:spacing w:line="360" w:lineRule="auto"/>
        <w:jc w:val="both"/>
        <w:rPr>
          <w:rFonts w:asciiTheme="minorBidi" w:hAnsiTheme="minorBidi"/>
          <w:sz w:val="26"/>
          <w:szCs w:val="26"/>
        </w:rPr>
      </w:pPr>
      <w:r>
        <w:rPr>
          <w:rFonts w:asciiTheme="minorBidi" w:hAnsiTheme="minorBidi"/>
          <w:sz w:val="26"/>
        </w:rPr>
        <w:t>Our progress in CBTC solutions reinforces our ability to deliver comprehensive urban mobility projects - both tram systems and fully automated metros. This is further bolstered by the outstanding evolution of our onboard signalling business and our leadership in key trackside markets. All of this allows us to reduce external dependencies and capture higher value-added opportunities at a time when the digitalisation and automation of rail transport are becoming critical competitive factors.</w:t>
      </w:r>
    </w:p>
    <w:p w14:paraId="2DA28798" w14:textId="7A3BAD9B" w:rsidR="00137B47" w:rsidRDefault="00137B47" w:rsidP="00EC0D3F">
      <w:pPr>
        <w:spacing w:line="360" w:lineRule="auto"/>
        <w:jc w:val="both"/>
        <w:rPr>
          <w:rFonts w:asciiTheme="minorBidi" w:hAnsiTheme="minorBidi"/>
          <w:sz w:val="26"/>
          <w:szCs w:val="26"/>
        </w:rPr>
      </w:pPr>
      <w:r>
        <w:rPr>
          <w:rFonts w:asciiTheme="minorBidi" w:hAnsiTheme="minorBidi"/>
          <w:sz w:val="26"/>
        </w:rPr>
        <w:t>Furthermore, the strong performance of our MiiRa/rolling gear business in recent years, as well as our growth with regards to skills and refurbishment projects, integrated management and EPC solutions aimed at delivering complete and reliable services, further reinforces the role of CAF’s rail division as the Group's anchor. This business combines scale and high visibility with sustainable margins in a market where demand for rail remains highly favourable.</w:t>
      </w:r>
    </w:p>
    <w:p w14:paraId="49782575" w14:textId="2BCEECB6" w:rsidR="00681389" w:rsidRPr="004C74D1" w:rsidRDefault="00EC0D3F" w:rsidP="00EC0D3F">
      <w:pPr>
        <w:spacing w:line="360" w:lineRule="auto"/>
        <w:jc w:val="both"/>
        <w:rPr>
          <w:rFonts w:asciiTheme="minorBidi" w:hAnsiTheme="minorBidi"/>
          <w:sz w:val="26"/>
          <w:szCs w:val="26"/>
        </w:rPr>
      </w:pPr>
      <w:r>
        <w:rPr>
          <w:rFonts w:asciiTheme="minorBidi" w:hAnsiTheme="minorBidi"/>
          <w:sz w:val="26"/>
        </w:rPr>
        <w:t xml:space="preserve">In the bus segment, Solaris once again proved in 2025 that it is a major driver of value creation. Its outstanding performance is supported by a value proposition that is clearly aligned with the shift toward sustainable urban public transport. </w:t>
      </w:r>
    </w:p>
    <w:p w14:paraId="28B7B17A" w14:textId="79307285" w:rsidR="0087798D" w:rsidRDefault="00EC0D3F" w:rsidP="00EC0D3F">
      <w:pPr>
        <w:spacing w:line="360" w:lineRule="auto"/>
        <w:jc w:val="both"/>
        <w:rPr>
          <w:rFonts w:asciiTheme="minorBidi" w:hAnsiTheme="minorBidi"/>
          <w:sz w:val="26"/>
          <w:szCs w:val="26"/>
        </w:rPr>
      </w:pPr>
      <w:r>
        <w:rPr>
          <w:rFonts w:asciiTheme="minorBidi" w:hAnsiTheme="minorBidi"/>
          <w:sz w:val="26"/>
        </w:rPr>
        <w:t xml:space="preserve">With record figures in both order intake (exceeding €2 billion) and revenues (approaching €1.2 billion), SOLARIS enters the future with a strong backlog: more than 90% of which consists of zero- and low-emission vehicles. </w:t>
      </w:r>
    </w:p>
    <w:p w14:paraId="64AD4653" w14:textId="634389C9" w:rsidR="000879A6" w:rsidRPr="004C74D1" w:rsidRDefault="000879A6" w:rsidP="000879A6">
      <w:pPr>
        <w:spacing w:line="360" w:lineRule="auto"/>
        <w:jc w:val="both"/>
        <w:rPr>
          <w:rFonts w:asciiTheme="minorBidi" w:hAnsiTheme="minorBidi"/>
          <w:sz w:val="26"/>
          <w:szCs w:val="26"/>
        </w:rPr>
      </w:pPr>
      <w:r>
        <w:rPr>
          <w:rFonts w:asciiTheme="minorBidi" w:hAnsiTheme="minorBidi"/>
          <w:sz w:val="26"/>
        </w:rPr>
        <w:t>This excellent performance means that Solaris remains the undisputed leader in Europe’s zero-emission urban mobility market, where it continues to hold the historic lead in this segment, with an even more prominent market share in hydrogen buses: one out of every two hydrogen buses delivered last year carried the Solaris brand.</w:t>
      </w:r>
    </w:p>
    <w:p w14:paraId="2FFC0EA4" w14:textId="601DB487" w:rsidR="00EC0D3F" w:rsidRPr="004C74D1" w:rsidRDefault="00EC0D3F" w:rsidP="00EC0D3F">
      <w:pPr>
        <w:spacing w:line="360" w:lineRule="auto"/>
        <w:jc w:val="both"/>
        <w:rPr>
          <w:rFonts w:asciiTheme="minorBidi" w:hAnsiTheme="minorBidi"/>
          <w:sz w:val="26"/>
          <w:szCs w:val="26"/>
        </w:rPr>
      </w:pPr>
      <w:r>
        <w:rPr>
          <w:rFonts w:asciiTheme="minorBidi" w:hAnsiTheme="minorBidi"/>
          <w:sz w:val="26"/>
        </w:rPr>
        <w:lastRenderedPageBreak/>
        <w:t>This position demonstrates a coherent industrial strategy and an accurate understanding of regulatory developments and the evolving needs of operators, who are speeding up the renewal of their fleets with the aim of shifting to zero emissions.</w:t>
      </w:r>
    </w:p>
    <w:p w14:paraId="331B17F7" w14:textId="7BECE62B" w:rsidR="000879A6" w:rsidRDefault="000879A6" w:rsidP="004148EB">
      <w:pPr>
        <w:spacing w:line="360" w:lineRule="auto"/>
        <w:jc w:val="both"/>
        <w:rPr>
          <w:rFonts w:asciiTheme="minorBidi" w:hAnsiTheme="minorBidi"/>
          <w:sz w:val="26"/>
          <w:szCs w:val="26"/>
        </w:rPr>
      </w:pPr>
      <w:r>
        <w:rPr>
          <w:rFonts w:asciiTheme="minorBidi" w:hAnsiTheme="minorBidi"/>
          <w:sz w:val="26"/>
        </w:rPr>
        <w:t xml:space="preserve">Overall, at the Group level, our target of €4.4 billion in organic revenue was reached one year ahead of the schedule envisaged in the Strategic Plan. Our operating profitability has improved steadily, we are generating positive cash flow, and our balance sheet has strengthened. </w:t>
      </w:r>
    </w:p>
    <w:p w14:paraId="2F83FAB4" w14:textId="594E7CEB" w:rsidR="004148EB" w:rsidRDefault="00681389" w:rsidP="004148EB">
      <w:pPr>
        <w:spacing w:line="360" w:lineRule="auto"/>
        <w:jc w:val="both"/>
        <w:rPr>
          <w:rFonts w:asciiTheme="minorBidi" w:hAnsiTheme="minorBidi"/>
          <w:sz w:val="26"/>
          <w:szCs w:val="26"/>
        </w:rPr>
      </w:pPr>
      <w:r>
        <w:rPr>
          <w:rFonts w:asciiTheme="minorBidi" w:hAnsiTheme="minorBidi"/>
          <w:sz w:val="26"/>
        </w:rPr>
        <w:t xml:space="preserve">However, this success does not mean that we are becoming less </w:t>
      </w:r>
      <w:proofErr w:type="gramStart"/>
      <w:r>
        <w:rPr>
          <w:rFonts w:asciiTheme="minorBidi" w:hAnsiTheme="minorBidi"/>
          <w:sz w:val="26"/>
        </w:rPr>
        <w:t>disciplined;</w:t>
      </w:r>
      <w:proofErr w:type="gramEnd"/>
      <w:r>
        <w:rPr>
          <w:rFonts w:asciiTheme="minorBidi" w:hAnsiTheme="minorBidi"/>
          <w:sz w:val="26"/>
        </w:rPr>
        <w:t xml:space="preserve"> quite the opposite, in fact. It reinforces our belief that we are on the right path and enables us to approach the next strategic stage from a position of undeniable strength. </w:t>
      </w:r>
    </w:p>
    <w:p w14:paraId="06D2F38D" w14:textId="77777777" w:rsidR="004148EB" w:rsidRPr="004148EB" w:rsidRDefault="004148EB" w:rsidP="004148EB">
      <w:pPr>
        <w:pStyle w:val="Ttulo"/>
        <w:spacing w:line="360" w:lineRule="auto"/>
        <w:jc w:val="both"/>
        <w:rPr>
          <w:rFonts w:asciiTheme="minorBidi" w:hAnsiTheme="minorBidi" w:cstheme="minorBidi"/>
          <w:i/>
          <w:iCs/>
          <w:color w:val="7F7F7F"/>
          <w:sz w:val="26"/>
          <w:szCs w:val="26"/>
          <w:u w:val="single"/>
        </w:rPr>
      </w:pPr>
      <w:r>
        <w:rPr>
          <w:rFonts w:asciiTheme="minorBidi" w:hAnsiTheme="minorBidi"/>
          <w:i/>
          <w:color w:val="7F7F7F"/>
          <w:sz w:val="26"/>
          <w:u w:val="single"/>
        </w:rPr>
        <w:t>[Looking ahead: 2027–2030 and beyond]</w:t>
      </w:r>
    </w:p>
    <w:p w14:paraId="1376E812" w14:textId="5FD54CED" w:rsidR="007E53A2" w:rsidRDefault="004148EB" w:rsidP="004148EB">
      <w:pPr>
        <w:spacing w:line="360" w:lineRule="auto"/>
        <w:jc w:val="both"/>
        <w:rPr>
          <w:rFonts w:asciiTheme="minorBidi" w:hAnsiTheme="minorBidi"/>
          <w:sz w:val="26"/>
          <w:szCs w:val="26"/>
        </w:rPr>
      </w:pPr>
      <w:r>
        <w:rPr>
          <w:rFonts w:asciiTheme="minorBidi" w:hAnsiTheme="minorBidi"/>
          <w:sz w:val="26"/>
        </w:rPr>
        <w:t xml:space="preserve">While 2026 marks the final year of our current strategic plan, this does not represent an endpoint. Instead, it serves as a bridge connecting us to our next strategic cycle for 2027–2030. </w:t>
      </w:r>
    </w:p>
    <w:p w14:paraId="74FEEBA6" w14:textId="00646B82" w:rsidR="002A4210" w:rsidRPr="004C74D1" w:rsidRDefault="004148EB" w:rsidP="007E53A2">
      <w:pPr>
        <w:spacing w:line="360" w:lineRule="auto"/>
        <w:jc w:val="both"/>
        <w:rPr>
          <w:rFonts w:asciiTheme="minorBidi" w:hAnsiTheme="minorBidi"/>
          <w:sz w:val="26"/>
          <w:szCs w:val="26"/>
        </w:rPr>
      </w:pPr>
      <w:r>
        <w:rPr>
          <w:rFonts w:asciiTheme="minorBidi" w:hAnsiTheme="minorBidi"/>
          <w:sz w:val="26"/>
        </w:rPr>
        <w:t>We approach this new cycle with high ambition, but an ambition that is balanced by practical realism. Rigorous preparation is vital, given the significant uncertainty and transformational dynamics that may soon redefine our sector in the coming years.</w:t>
      </w:r>
    </w:p>
    <w:p w14:paraId="2CB865ED" w14:textId="77777777" w:rsidR="000879A6" w:rsidRDefault="002A4210" w:rsidP="002A4210">
      <w:pPr>
        <w:spacing w:line="360" w:lineRule="auto"/>
        <w:jc w:val="both"/>
        <w:rPr>
          <w:rFonts w:asciiTheme="minorBidi" w:hAnsiTheme="minorBidi"/>
          <w:sz w:val="26"/>
          <w:szCs w:val="26"/>
        </w:rPr>
      </w:pPr>
      <w:r>
        <w:rPr>
          <w:rFonts w:asciiTheme="minorBidi" w:hAnsiTheme="minorBidi"/>
          <w:sz w:val="26"/>
        </w:rPr>
        <w:t xml:space="preserve">With this conviction, we have already begun the groundwork to define the 2027–2030 Strategic Plan. </w:t>
      </w:r>
    </w:p>
    <w:p w14:paraId="7F3DD951" w14:textId="533A985C" w:rsidR="007574FD" w:rsidRDefault="00F443F4" w:rsidP="002A4210">
      <w:pPr>
        <w:spacing w:line="360" w:lineRule="auto"/>
        <w:jc w:val="both"/>
        <w:rPr>
          <w:rFonts w:asciiTheme="minorBidi" w:hAnsiTheme="minorBidi"/>
          <w:sz w:val="26"/>
          <w:szCs w:val="26"/>
        </w:rPr>
      </w:pPr>
      <w:r>
        <w:rPr>
          <w:rFonts w:asciiTheme="minorBidi" w:hAnsiTheme="minorBidi"/>
          <w:sz w:val="26"/>
        </w:rPr>
        <w:t xml:space="preserve">We are building it on multiple core principles: delivering profitable growth, improving efficiency and ensuring complete alignment of our financial, operational and strategic priorities. </w:t>
      </w:r>
    </w:p>
    <w:p w14:paraId="70029A28" w14:textId="044CBBAE" w:rsidR="002A4210" w:rsidRPr="004C74D1" w:rsidRDefault="007E53A2" w:rsidP="002A4210">
      <w:pPr>
        <w:spacing w:line="360" w:lineRule="auto"/>
        <w:jc w:val="both"/>
        <w:rPr>
          <w:rFonts w:asciiTheme="minorBidi" w:hAnsiTheme="minorBidi"/>
          <w:sz w:val="26"/>
          <w:szCs w:val="26"/>
        </w:rPr>
      </w:pPr>
      <w:r>
        <w:rPr>
          <w:rFonts w:asciiTheme="minorBidi" w:hAnsiTheme="minorBidi"/>
          <w:sz w:val="26"/>
        </w:rPr>
        <w:t>Our goal is to create a clear, actionable framework that will expand our opportunities over the next decade while maintaining a sharp focus on short- and medium-term execution.</w:t>
      </w:r>
    </w:p>
    <w:p w14:paraId="43FCFDF4" w14:textId="77777777" w:rsidR="000879A6" w:rsidRDefault="007574FD" w:rsidP="007574FD">
      <w:pPr>
        <w:spacing w:line="360" w:lineRule="auto"/>
        <w:jc w:val="both"/>
        <w:rPr>
          <w:rFonts w:asciiTheme="minorBidi" w:hAnsiTheme="minorBidi"/>
          <w:sz w:val="26"/>
          <w:szCs w:val="26"/>
        </w:rPr>
      </w:pPr>
      <w:r>
        <w:rPr>
          <w:rFonts w:asciiTheme="minorBidi" w:hAnsiTheme="minorBidi"/>
          <w:sz w:val="26"/>
        </w:rPr>
        <w:lastRenderedPageBreak/>
        <w:t xml:space="preserve">Rather than starting from scratch, this new Plan expands on an already coherent and proven industrial project. Our focus is on doubling down on the strategies that have already proven successful. </w:t>
      </w:r>
    </w:p>
    <w:p w14:paraId="12E06173" w14:textId="761FC675" w:rsidR="002A4210" w:rsidRPr="004C74D1" w:rsidRDefault="007574FD" w:rsidP="007574FD">
      <w:pPr>
        <w:spacing w:line="360" w:lineRule="auto"/>
        <w:jc w:val="both"/>
        <w:rPr>
          <w:rFonts w:asciiTheme="minorBidi" w:hAnsiTheme="minorBidi"/>
          <w:sz w:val="26"/>
          <w:szCs w:val="26"/>
        </w:rPr>
      </w:pPr>
      <w:proofErr w:type="gramStart"/>
      <w:r>
        <w:rPr>
          <w:rFonts w:asciiTheme="minorBidi" w:hAnsiTheme="minorBidi"/>
          <w:sz w:val="26"/>
        </w:rPr>
        <w:t>With this in mind, the</w:t>
      </w:r>
      <w:proofErr w:type="gramEnd"/>
      <w:r>
        <w:rPr>
          <w:rFonts w:asciiTheme="minorBidi" w:hAnsiTheme="minorBidi"/>
          <w:sz w:val="26"/>
        </w:rPr>
        <w:t xml:space="preserve"> 2030 Strategic Plan will act as a core management tool to maximize profitability as we deliver on our existing backlog, while simultaneously positioning the Group to seize new growth opportunities.</w:t>
      </w:r>
    </w:p>
    <w:p w14:paraId="10CB6C73" w14:textId="7F7ED277" w:rsidR="004A4D99" w:rsidRDefault="00256B42" w:rsidP="00256B42">
      <w:pPr>
        <w:spacing w:line="360" w:lineRule="auto"/>
        <w:jc w:val="both"/>
        <w:rPr>
          <w:rFonts w:asciiTheme="minorBidi" w:hAnsiTheme="minorBidi"/>
          <w:sz w:val="26"/>
          <w:szCs w:val="26"/>
        </w:rPr>
      </w:pPr>
      <w:r>
        <w:rPr>
          <w:rFonts w:asciiTheme="minorBidi" w:hAnsiTheme="minorBidi"/>
          <w:sz w:val="26"/>
        </w:rPr>
        <w:t xml:space="preserve">The major trends reshaping mobility - including electrification, digitalisation, automation, and sustainable urbanization - all align perfectly with our value proposition. </w:t>
      </w:r>
    </w:p>
    <w:p w14:paraId="5E09CBDA" w14:textId="1B1BB3BF"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We back this up with a comprehensive portfolio, a market-leading position in Europe's electric public mobility sector, and an organisation that is becoming more integrated and efficient by the day.</w:t>
      </w:r>
    </w:p>
    <w:p w14:paraId="38DE636E" w14:textId="2177F56D"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Our goal for the coming years is clear: to sustain profitable growth, continually expand margins, maintain strict financial discipline, and generate enduring, long-term sustainable value.</w:t>
      </w:r>
    </w:p>
    <w:p w14:paraId="469948C1" w14:textId="77777777"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We will achieve this by leveraging our backlog, our technological capabilities, and a disciplined approach to risk management - always keeping our sights set on the future.</w:t>
      </w:r>
    </w:p>
    <w:p w14:paraId="109D8549" w14:textId="5351F366" w:rsidR="004A4D99" w:rsidRPr="004C74D1" w:rsidRDefault="004A4D99" w:rsidP="004A4D99">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[Level Playing Field, Digital Transformation, Regulatory Stability and Technical Harmonisation]</w:t>
      </w:r>
    </w:p>
    <w:p w14:paraId="387ADB2C" w14:textId="733D4B07" w:rsidR="00135BD9" w:rsidRPr="004C74D1" w:rsidRDefault="00135BD9" w:rsidP="001D4C3F">
      <w:pPr>
        <w:spacing w:line="360" w:lineRule="auto"/>
        <w:jc w:val="both"/>
        <w:rPr>
          <w:rFonts w:asciiTheme="minorBidi" w:hAnsiTheme="minorBidi"/>
          <w:sz w:val="26"/>
          <w:szCs w:val="26"/>
        </w:rPr>
      </w:pPr>
      <w:r>
        <w:rPr>
          <w:rFonts w:asciiTheme="minorBidi" w:hAnsiTheme="minorBidi"/>
          <w:sz w:val="26"/>
        </w:rPr>
        <w:t>The European mobility market - CAF’s primary market - remains the largest and most strategic in the world.</w:t>
      </w:r>
    </w:p>
    <w:p w14:paraId="6D4DA1FB" w14:textId="11743160" w:rsidR="000E4BA8" w:rsidRPr="004C74D1" w:rsidRDefault="009B7BEB" w:rsidP="000E4BA8">
      <w:pPr>
        <w:spacing w:line="360" w:lineRule="auto"/>
        <w:jc w:val="both"/>
        <w:rPr>
          <w:rFonts w:asciiTheme="minorBidi" w:hAnsiTheme="minorBidi"/>
          <w:sz w:val="26"/>
          <w:szCs w:val="26"/>
        </w:rPr>
      </w:pPr>
      <w:r>
        <w:rPr>
          <w:rFonts w:asciiTheme="minorBidi" w:hAnsiTheme="minorBidi"/>
          <w:sz w:val="26"/>
        </w:rPr>
        <w:t>However, I must warn that European companies are becoming increasingly exposed to unfair competition from state-owned, heavily subsidized players from third countries.</w:t>
      </w:r>
    </w:p>
    <w:p w14:paraId="73696FC0" w14:textId="671C2D04" w:rsidR="009A4107" w:rsidRPr="004C74D1" w:rsidRDefault="003C6B50" w:rsidP="009A4107">
      <w:pPr>
        <w:spacing w:line="360" w:lineRule="auto"/>
        <w:jc w:val="both"/>
        <w:rPr>
          <w:rFonts w:asciiTheme="minorBidi" w:hAnsiTheme="minorBidi"/>
          <w:sz w:val="26"/>
          <w:szCs w:val="26"/>
        </w:rPr>
      </w:pPr>
      <w:r>
        <w:rPr>
          <w:rFonts w:asciiTheme="minorBidi" w:hAnsiTheme="minorBidi"/>
          <w:sz w:val="26"/>
        </w:rPr>
        <w:t xml:space="preserve">If Europe fails to act in time, these practices threaten to weaken our industrial base. All eyes are now on the development of a policy framework capable of preserving that base. Right now, the focus is squarely on </w:t>
      </w:r>
      <w:r>
        <w:rPr>
          <w:rFonts w:asciiTheme="minorBidi" w:hAnsiTheme="minorBidi"/>
          <w:sz w:val="26"/>
        </w:rPr>
        <w:lastRenderedPageBreak/>
        <w:t xml:space="preserve">reforming the European public procurement framework to ensure a level playing field, while safeguarding the region’s industrial security and technological competitiveness. </w:t>
      </w:r>
    </w:p>
    <w:p w14:paraId="66F3538E" w14:textId="588DEF83" w:rsidR="009A4107" w:rsidRPr="004C74D1" w:rsidRDefault="007574FD" w:rsidP="00831A21">
      <w:pPr>
        <w:spacing w:line="360" w:lineRule="auto"/>
        <w:jc w:val="both"/>
        <w:rPr>
          <w:rFonts w:asciiTheme="minorBidi" w:hAnsiTheme="minorBidi"/>
          <w:sz w:val="26"/>
          <w:szCs w:val="26"/>
        </w:rPr>
      </w:pPr>
      <w:r>
        <w:rPr>
          <w:rFonts w:asciiTheme="minorBidi" w:hAnsiTheme="minorBidi"/>
          <w:sz w:val="26"/>
        </w:rPr>
        <w:t xml:space="preserve">For this reason, we have opted to support the manifesto promoted by the Executive Vice-President of the European Commission, calling for a more ambitious and effective European industrial policy. </w:t>
      </w:r>
    </w:p>
    <w:p w14:paraId="71ACF11B" w14:textId="04B83E1D" w:rsidR="00831A21" w:rsidRPr="004C74D1" w:rsidRDefault="004148EB" w:rsidP="00831A21">
      <w:pPr>
        <w:spacing w:line="360" w:lineRule="auto"/>
        <w:jc w:val="both"/>
        <w:rPr>
          <w:rFonts w:asciiTheme="minorBidi" w:hAnsiTheme="minorBidi"/>
          <w:sz w:val="26"/>
          <w:szCs w:val="26"/>
        </w:rPr>
      </w:pPr>
      <w:r>
        <w:rPr>
          <w:rFonts w:asciiTheme="minorBidi" w:hAnsiTheme="minorBidi"/>
          <w:sz w:val="26"/>
        </w:rPr>
        <w:t>That said, as a company, we cannot simply stand by and wait. A level playing field is essential, but it doesn't guarantee success on its own. We must anticipate change and act pro-actively to tackle challenges and seize opportunities.</w:t>
      </w:r>
    </w:p>
    <w:p w14:paraId="2FE954B0" w14:textId="32E10906" w:rsidR="00831A21" w:rsidRPr="004C74D1" w:rsidRDefault="000868BA" w:rsidP="00831A21">
      <w:pPr>
        <w:spacing w:line="360" w:lineRule="auto"/>
        <w:jc w:val="both"/>
        <w:rPr>
          <w:rFonts w:asciiTheme="minorBidi" w:hAnsiTheme="minorBidi"/>
          <w:sz w:val="26"/>
          <w:szCs w:val="26"/>
        </w:rPr>
      </w:pPr>
      <w:r>
        <w:rPr>
          <w:rFonts w:asciiTheme="minorBidi" w:hAnsiTheme="minorBidi"/>
          <w:sz w:val="26"/>
        </w:rPr>
        <w:t>Capital-intensive industries with complex supply chains, like ours, face greater challenges when trying to adapt quickly to structural and geopolitical shifts.</w:t>
      </w:r>
    </w:p>
    <w:p w14:paraId="1CB045CF" w14:textId="67549D34" w:rsidR="00135BD9" w:rsidRPr="004C74D1" w:rsidRDefault="000868BA" w:rsidP="00831A21">
      <w:pPr>
        <w:spacing w:line="360" w:lineRule="auto"/>
        <w:jc w:val="both"/>
        <w:rPr>
          <w:rFonts w:asciiTheme="minorBidi" w:hAnsiTheme="minorBidi"/>
          <w:sz w:val="26"/>
          <w:szCs w:val="26"/>
        </w:rPr>
      </w:pPr>
      <w:r>
        <w:rPr>
          <w:rFonts w:asciiTheme="minorBidi" w:hAnsiTheme="minorBidi"/>
          <w:sz w:val="26"/>
        </w:rPr>
        <w:t>Therefore, improving market visibility, maintaining close relationships with our customers and increasing operational flexibility in terms of both production capacity and sourcing models will enable us to withstand disruption and actively capitalise on new growth opportunities.</w:t>
      </w:r>
    </w:p>
    <w:p w14:paraId="2B34A107" w14:textId="232305DB" w:rsidR="00284656" w:rsidRPr="004C74D1" w:rsidRDefault="000868BA" w:rsidP="00135BD9">
      <w:pPr>
        <w:spacing w:line="360" w:lineRule="auto"/>
        <w:jc w:val="both"/>
        <w:rPr>
          <w:rFonts w:asciiTheme="minorBidi" w:hAnsiTheme="minorBidi"/>
          <w:sz w:val="26"/>
          <w:szCs w:val="26"/>
        </w:rPr>
      </w:pPr>
      <w:r>
        <w:rPr>
          <w:rFonts w:asciiTheme="minorBidi" w:hAnsiTheme="minorBidi"/>
          <w:sz w:val="26"/>
        </w:rPr>
        <w:t xml:space="preserve">At the same time, we must continue to make progress, with even greater </w:t>
      </w:r>
      <w:proofErr w:type="gramStart"/>
      <w:r>
        <w:rPr>
          <w:rFonts w:asciiTheme="minorBidi" w:hAnsiTheme="minorBidi"/>
          <w:sz w:val="26"/>
        </w:rPr>
        <w:t>determination</w:t>
      </w:r>
      <w:proofErr w:type="gramEnd"/>
      <w:r>
        <w:rPr>
          <w:rFonts w:asciiTheme="minorBidi" w:hAnsiTheme="minorBidi"/>
          <w:sz w:val="26"/>
        </w:rPr>
        <w:t xml:space="preserve"> if possible, in implementing a comprehensive and dynamic innovation roadmap that leverages technology, data and digital tools in alignment with the company’s overall business objectives. </w:t>
      </w:r>
    </w:p>
    <w:p w14:paraId="3172CFBF" w14:textId="443DEBC3" w:rsidR="00135BD9" w:rsidRPr="004C74D1" w:rsidRDefault="00284656" w:rsidP="00284656">
      <w:pPr>
        <w:spacing w:line="360" w:lineRule="auto"/>
        <w:jc w:val="both"/>
        <w:rPr>
          <w:rFonts w:asciiTheme="minorBidi" w:hAnsiTheme="minorBidi"/>
          <w:sz w:val="26"/>
          <w:szCs w:val="26"/>
        </w:rPr>
      </w:pPr>
      <w:r>
        <w:rPr>
          <w:rFonts w:asciiTheme="minorBidi" w:hAnsiTheme="minorBidi"/>
          <w:sz w:val="26"/>
        </w:rPr>
        <w:t xml:space="preserve">Accelerating the use of artificial intelligence and automation to create real value is essential and this is driven by actionable digital transformation plans and supported by clear, measurable key performance indicators. </w:t>
      </w:r>
    </w:p>
    <w:p w14:paraId="537B534C" w14:textId="6C2E47A3" w:rsidR="00135BD9" w:rsidRPr="004C74D1" w:rsidRDefault="0065613F" w:rsidP="00CB46C2">
      <w:pPr>
        <w:spacing w:line="360" w:lineRule="auto"/>
        <w:jc w:val="both"/>
        <w:rPr>
          <w:rFonts w:asciiTheme="minorBidi" w:hAnsiTheme="minorBidi"/>
          <w:sz w:val="26"/>
          <w:szCs w:val="26"/>
        </w:rPr>
      </w:pPr>
      <w:r>
        <w:rPr>
          <w:rFonts w:asciiTheme="minorBidi" w:hAnsiTheme="minorBidi"/>
          <w:sz w:val="26"/>
        </w:rPr>
        <w:t>We must push ourselves - both collectively as a team and individually - to evolve rapidly in the short term while maintaining a long-term perspective.</w:t>
      </w:r>
    </w:p>
    <w:p w14:paraId="7BA6303F" w14:textId="44E0DB04" w:rsidR="009D1F0C" w:rsidRPr="004C74D1" w:rsidRDefault="00831A21" w:rsidP="009D1F0C">
      <w:pPr>
        <w:spacing w:line="360" w:lineRule="auto"/>
        <w:jc w:val="both"/>
        <w:rPr>
          <w:rFonts w:asciiTheme="minorBidi" w:hAnsiTheme="minorBidi"/>
          <w:sz w:val="26"/>
          <w:szCs w:val="26"/>
        </w:rPr>
      </w:pPr>
      <w:r>
        <w:rPr>
          <w:rFonts w:asciiTheme="minorBidi" w:hAnsiTheme="minorBidi"/>
          <w:sz w:val="26"/>
        </w:rPr>
        <w:lastRenderedPageBreak/>
        <w:t>Finally, I would like to address a matter of critical importance to the future of our industry in Europe: achieving technical harmonisation and regulatory stability in the railway sector.</w:t>
      </w:r>
    </w:p>
    <w:p w14:paraId="2D47AAFD" w14:textId="77777777" w:rsidR="003F4FA5" w:rsidRPr="004C74D1" w:rsidRDefault="009D1F0C" w:rsidP="009D1F0C">
      <w:pPr>
        <w:spacing w:line="360" w:lineRule="auto"/>
        <w:jc w:val="both"/>
        <w:rPr>
          <w:rFonts w:asciiTheme="minorBidi" w:hAnsiTheme="minorBidi"/>
          <w:sz w:val="26"/>
          <w:szCs w:val="26"/>
        </w:rPr>
      </w:pPr>
      <w:r>
        <w:rPr>
          <w:rFonts w:asciiTheme="minorBidi" w:hAnsiTheme="minorBidi"/>
          <w:sz w:val="26"/>
        </w:rPr>
        <w:t xml:space="preserve">We believe that moving towards greater stability in technical specifications is vital, ensuring that standards and requirements are not subject to frequent changes or differing regional interpretations. </w:t>
      </w:r>
    </w:p>
    <w:p w14:paraId="13B39A0C" w14:textId="3196DDA8" w:rsidR="00831A21" w:rsidRPr="004C74D1" w:rsidRDefault="00831A21" w:rsidP="009D1F0C">
      <w:pPr>
        <w:spacing w:line="360" w:lineRule="auto"/>
        <w:jc w:val="both"/>
        <w:rPr>
          <w:rFonts w:asciiTheme="minorBidi" w:hAnsiTheme="minorBidi"/>
          <w:sz w:val="26"/>
          <w:szCs w:val="26"/>
        </w:rPr>
      </w:pPr>
      <w:r>
        <w:rPr>
          <w:rFonts w:asciiTheme="minorBidi" w:hAnsiTheme="minorBidi"/>
          <w:sz w:val="26"/>
        </w:rPr>
        <w:t>This stability is essential for effective planning and long-term investment, as well as for developing innovative products that meet the demands of the European market without the risk of being penalised by inconsistent or unexpected requirements.</w:t>
      </w:r>
    </w:p>
    <w:p w14:paraId="4D4DD6B8" w14:textId="4D9E8151" w:rsidR="003F4FA5" w:rsidRPr="004C74D1" w:rsidRDefault="002F0731" w:rsidP="009D1F0C">
      <w:pPr>
        <w:spacing w:line="360" w:lineRule="auto"/>
        <w:jc w:val="both"/>
        <w:rPr>
          <w:rFonts w:asciiTheme="minorBidi" w:hAnsiTheme="minorBidi"/>
          <w:sz w:val="26"/>
          <w:szCs w:val="26"/>
        </w:rPr>
      </w:pPr>
      <w:r>
        <w:rPr>
          <w:rFonts w:asciiTheme="minorBidi" w:hAnsiTheme="minorBidi"/>
          <w:sz w:val="26"/>
        </w:rPr>
        <w:t>Likewise, accelerating technical harmonisation across Europe is essential for speeding up the launch of products and services, reducing costs and improving efficiency.</w:t>
      </w:r>
    </w:p>
    <w:p w14:paraId="71856FE9" w14:textId="77777777" w:rsidR="009D1F0C" w:rsidRPr="004C74D1" w:rsidRDefault="00831A21" w:rsidP="009D1F0C">
      <w:pPr>
        <w:spacing w:line="360" w:lineRule="auto"/>
        <w:jc w:val="both"/>
        <w:rPr>
          <w:rFonts w:asciiTheme="minorBidi" w:hAnsiTheme="minorBidi"/>
          <w:sz w:val="26"/>
          <w:szCs w:val="26"/>
        </w:rPr>
      </w:pPr>
      <w:r>
        <w:rPr>
          <w:rFonts w:asciiTheme="minorBidi" w:hAnsiTheme="minorBidi"/>
          <w:sz w:val="26"/>
        </w:rPr>
        <w:t xml:space="preserve">Ultimately, technical harmonisation and regulatory stability promote fair competition and are the key pillars supporting sustainable innovation and a stronger European industrial base. </w:t>
      </w:r>
    </w:p>
    <w:p w14:paraId="7CFDDCBB" w14:textId="3AA81374" w:rsidR="00256B42" w:rsidRPr="004C74D1" w:rsidRDefault="004148EB" w:rsidP="00135BD9">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[Final Message to Shareholders]</w:t>
      </w:r>
    </w:p>
    <w:p w14:paraId="43951AAD" w14:textId="0993C547" w:rsidR="00256B42" w:rsidRPr="004C74D1" w:rsidRDefault="00256B42" w:rsidP="00135BD9">
      <w:pPr>
        <w:spacing w:line="360" w:lineRule="auto"/>
        <w:jc w:val="both"/>
        <w:rPr>
          <w:rFonts w:asciiTheme="minorBidi" w:hAnsiTheme="minorBidi"/>
          <w:sz w:val="26"/>
          <w:szCs w:val="26"/>
        </w:rPr>
      </w:pPr>
      <w:r>
        <w:rPr>
          <w:rFonts w:asciiTheme="minorBidi" w:hAnsiTheme="minorBidi"/>
          <w:sz w:val="26"/>
        </w:rPr>
        <w:t xml:space="preserve">The results we achieved in 2025 confirm that the Group is heading in the right direction. We have shown growth, profitability and financial strength, as well as a firm commitment to sustainability. We are delivering on our own </w:t>
      </w:r>
      <w:proofErr w:type="gramStart"/>
      <w:r>
        <w:rPr>
          <w:rFonts w:asciiTheme="minorBidi" w:hAnsiTheme="minorBidi"/>
          <w:sz w:val="26"/>
        </w:rPr>
        <w:t>goals, and</w:t>
      </w:r>
      <w:proofErr w:type="gramEnd"/>
      <w:r>
        <w:rPr>
          <w:rFonts w:asciiTheme="minorBidi" w:hAnsiTheme="minorBidi"/>
          <w:sz w:val="26"/>
        </w:rPr>
        <w:t xml:space="preserve"> are ready to take on the challenges and opportunities that lie ahead.</w:t>
      </w:r>
    </w:p>
    <w:p w14:paraId="4A2D29ED" w14:textId="77777777" w:rsidR="00256B42" w:rsidRPr="004C74D1" w:rsidRDefault="00256B42" w:rsidP="00135BD9">
      <w:pPr>
        <w:spacing w:line="360" w:lineRule="auto"/>
        <w:jc w:val="both"/>
        <w:rPr>
          <w:rFonts w:asciiTheme="minorBidi" w:hAnsiTheme="minorBidi"/>
          <w:sz w:val="26"/>
          <w:szCs w:val="26"/>
        </w:rPr>
      </w:pPr>
      <w:r>
        <w:rPr>
          <w:rFonts w:asciiTheme="minorBidi" w:hAnsiTheme="minorBidi"/>
          <w:sz w:val="26"/>
        </w:rPr>
        <w:t>I would like to thank you for your continued trust and support, and for your long-term commitment to this project. Please rest assured that the management team and the entire Board of Directors are fully committed to creating sustainable value through rigour, transparency and responsibility.</w:t>
      </w:r>
    </w:p>
    <w:p w14:paraId="2B4BB961" w14:textId="41AE4316" w:rsidR="00314327" w:rsidRPr="004C74D1" w:rsidRDefault="00256B42" w:rsidP="00135BD9">
      <w:pPr>
        <w:spacing w:line="360" w:lineRule="auto"/>
        <w:jc w:val="both"/>
        <w:rPr>
          <w:rFonts w:asciiTheme="minorBidi" w:hAnsiTheme="minorBidi"/>
          <w:sz w:val="26"/>
          <w:szCs w:val="26"/>
        </w:rPr>
      </w:pPr>
      <w:r>
        <w:rPr>
          <w:rFonts w:asciiTheme="minorBidi" w:hAnsiTheme="minorBidi"/>
          <w:sz w:val="26"/>
        </w:rPr>
        <w:t>Thank you very much for your consideration and for attending this General Shareholders' Meeting today.</w:t>
      </w:r>
    </w:p>
    <w:sectPr w:rsidR="00314327" w:rsidRPr="004C74D1" w:rsidSect="00183351">
      <w:headerReference w:type="default" r:id="rId10"/>
      <w:foot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FA91" w14:textId="77777777" w:rsidR="00C16F65" w:rsidRDefault="00C16F65" w:rsidP="003E3280">
      <w:pPr>
        <w:spacing w:after="0" w:line="240" w:lineRule="auto"/>
      </w:pPr>
      <w:r>
        <w:separator/>
      </w:r>
    </w:p>
  </w:endnote>
  <w:endnote w:type="continuationSeparator" w:id="0">
    <w:p w14:paraId="27796AA9" w14:textId="77777777" w:rsidR="00C16F65" w:rsidRDefault="00C16F65" w:rsidP="003E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A746" w14:textId="77B6B5FC" w:rsidR="004956E2" w:rsidRPr="00183351" w:rsidRDefault="00CE2998" w:rsidP="00CE2998">
    <w:pPr>
      <w:pStyle w:val="Piedepgina"/>
      <w:jc w:val="center"/>
      <w:rPr>
        <w:rFonts w:asciiTheme="minorBidi" w:hAnsiTheme="minorBidi"/>
        <w:sz w:val="24"/>
        <w:szCs w:val="24"/>
      </w:rPr>
    </w:pPr>
    <w:r w:rsidRPr="00183351">
      <w:rPr>
        <w:rFonts w:asciiTheme="minorBidi" w:hAnsiTheme="minorBidi"/>
        <w:sz w:val="24"/>
      </w:rPr>
      <w:fldChar w:fldCharType="begin"/>
    </w:r>
    <w:r w:rsidRPr="00183351">
      <w:rPr>
        <w:rFonts w:asciiTheme="minorBidi" w:hAnsiTheme="minorBidi"/>
        <w:sz w:val="24"/>
      </w:rPr>
      <w:instrText>PAGE   \* MERGEFORMAT</w:instrText>
    </w:r>
    <w:r w:rsidRPr="00183351">
      <w:rPr>
        <w:rFonts w:asciiTheme="minorBidi" w:hAnsiTheme="minorBidi"/>
        <w:sz w:val="24"/>
      </w:rPr>
      <w:fldChar w:fldCharType="separate"/>
    </w:r>
    <w:r w:rsidRPr="00183351">
      <w:rPr>
        <w:rFonts w:asciiTheme="minorBidi" w:hAnsiTheme="minorBidi"/>
        <w:sz w:val="24"/>
      </w:rPr>
      <w:t>1</w:t>
    </w:r>
    <w:r w:rsidRPr="00183351">
      <w:rPr>
        <w:rFonts w:asciiTheme="minorBidi" w:hAnsiTheme="minorBid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E52D" w14:textId="77777777" w:rsidR="00C16F65" w:rsidRDefault="00C16F65" w:rsidP="003E3280">
      <w:pPr>
        <w:spacing w:after="0" w:line="240" w:lineRule="auto"/>
      </w:pPr>
      <w:r>
        <w:separator/>
      </w:r>
    </w:p>
  </w:footnote>
  <w:footnote w:type="continuationSeparator" w:id="0">
    <w:p w14:paraId="1BBA7D40" w14:textId="77777777" w:rsidR="00C16F65" w:rsidRDefault="00C16F65" w:rsidP="003E3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0290" w14:textId="5D9A81F7" w:rsidR="003F4FA5" w:rsidRDefault="003F4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090E"/>
    <w:multiLevelType w:val="multilevel"/>
    <w:tmpl w:val="150E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A6718"/>
    <w:multiLevelType w:val="hybridMultilevel"/>
    <w:tmpl w:val="83F85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572D3B"/>
    <w:multiLevelType w:val="multilevel"/>
    <w:tmpl w:val="B9FE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00EC7"/>
    <w:multiLevelType w:val="multilevel"/>
    <w:tmpl w:val="18D2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A16BD"/>
    <w:multiLevelType w:val="multilevel"/>
    <w:tmpl w:val="0E8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D129B"/>
    <w:multiLevelType w:val="multilevel"/>
    <w:tmpl w:val="157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D7D59"/>
    <w:multiLevelType w:val="multilevel"/>
    <w:tmpl w:val="166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05990"/>
    <w:multiLevelType w:val="multilevel"/>
    <w:tmpl w:val="7D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3A47D0"/>
    <w:multiLevelType w:val="multilevel"/>
    <w:tmpl w:val="855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A7F1B"/>
    <w:multiLevelType w:val="multilevel"/>
    <w:tmpl w:val="E9B0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07BAA"/>
    <w:multiLevelType w:val="multilevel"/>
    <w:tmpl w:val="F3F4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596498">
    <w:abstractNumId w:val="7"/>
  </w:num>
  <w:num w:numId="2" w16cid:durableId="508836779">
    <w:abstractNumId w:val="9"/>
  </w:num>
  <w:num w:numId="3" w16cid:durableId="1472924">
    <w:abstractNumId w:val="5"/>
  </w:num>
  <w:num w:numId="4" w16cid:durableId="940333456">
    <w:abstractNumId w:val="0"/>
  </w:num>
  <w:num w:numId="5" w16cid:durableId="543181183">
    <w:abstractNumId w:val="3"/>
  </w:num>
  <w:num w:numId="6" w16cid:durableId="622272216">
    <w:abstractNumId w:val="8"/>
  </w:num>
  <w:num w:numId="7" w16cid:durableId="1011760025">
    <w:abstractNumId w:val="10"/>
  </w:num>
  <w:num w:numId="8" w16cid:durableId="2019505273">
    <w:abstractNumId w:val="2"/>
  </w:num>
  <w:num w:numId="9" w16cid:durableId="1343047561">
    <w:abstractNumId w:val="4"/>
  </w:num>
  <w:num w:numId="10" w16cid:durableId="175193913">
    <w:abstractNumId w:val="6"/>
  </w:num>
  <w:num w:numId="11" w16cid:durableId="173627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7"/>
    <w:rsid w:val="00023987"/>
    <w:rsid w:val="00035155"/>
    <w:rsid w:val="00045DB2"/>
    <w:rsid w:val="00063723"/>
    <w:rsid w:val="00065283"/>
    <w:rsid w:val="00067858"/>
    <w:rsid w:val="00070973"/>
    <w:rsid w:val="00074D0D"/>
    <w:rsid w:val="000868BA"/>
    <w:rsid w:val="000879A6"/>
    <w:rsid w:val="00087BD6"/>
    <w:rsid w:val="00091C49"/>
    <w:rsid w:val="0009261E"/>
    <w:rsid w:val="000954E9"/>
    <w:rsid w:val="000A0989"/>
    <w:rsid w:val="000A2A84"/>
    <w:rsid w:val="000A67BB"/>
    <w:rsid w:val="000A7061"/>
    <w:rsid w:val="000B2B54"/>
    <w:rsid w:val="000B3B51"/>
    <w:rsid w:val="000B7E44"/>
    <w:rsid w:val="000C39A4"/>
    <w:rsid w:val="000C6DBE"/>
    <w:rsid w:val="000D1293"/>
    <w:rsid w:val="000E20D2"/>
    <w:rsid w:val="000E4BA8"/>
    <w:rsid w:val="00100F21"/>
    <w:rsid w:val="00106DB3"/>
    <w:rsid w:val="0012488E"/>
    <w:rsid w:val="00125699"/>
    <w:rsid w:val="00134416"/>
    <w:rsid w:val="00135BD9"/>
    <w:rsid w:val="00136FAD"/>
    <w:rsid w:val="00137B47"/>
    <w:rsid w:val="001513BA"/>
    <w:rsid w:val="0015175A"/>
    <w:rsid w:val="00151BFD"/>
    <w:rsid w:val="0015537B"/>
    <w:rsid w:val="00156B79"/>
    <w:rsid w:val="00163D19"/>
    <w:rsid w:val="00165073"/>
    <w:rsid w:val="0016507A"/>
    <w:rsid w:val="001662A6"/>
    <w:rsid w:val="00171A03"/>
    <w:rsid w:val="001825DF"/>
    <w:rsid w:val="00183351"/>
    <w:rsid w:val="001879C3"/>
    <w:rsid w:val="001909A4"/>
    <w:rsid w:val="00190F2D"/>
    <w:rsid w:val="001941DD"/>
    <w:rsid w:val="001972EC"/>
    <w:rsid w:val="001B2BCB"/>
    <w:rsid w:val="001B5411"/>
    <w:rsid w:val="001B6074"/>
    <w:rsid w:val="001C16C3"/>
    <w:rsid w:val="001D0955"/>
    <w:rsid w:val="001D26D3"/>
    <w:rsid w:val="001D4C3F"/>
    <w:rsid w:val="001D7C5F"/>
    <w:rsid w:val="001E17C4"/>
    <w:rsid w:val="001F23D3"/>
    <w:rsid w:val="001F7D9B"/>
    <w:rsid w:val="00200B9B"/>
    <w:rsid w:val="00204FBF"/>
    <w:rsid w:val="0021393D"/>
    <w:rsid w:val="00236DB9"/>
    <w:rsid w:val="00256B42"/>
    <w:rsid w:val="002604FD"/>
    <w:rsid w:val="00260B7E"/>
    <w:rsid w:val="002770FC"/>
    <w:rsid w:val="00284656"/>
    <w:rsid w:val="0028627A"/>
    <w:rsid w:val="002A07F6"/>
    <w:rsid w:val="002A1BFC"/>
    <w:rsid w:val="002A2586"/>
    <w:rsid w:val="002A4210"/>
    <w:rsid w:val="002D6BC3"/>
    <w:rsid w:val="002E4F45"/>
    <w:rsid w:val="002F0731"/>
    <w:rsid w:val="00301F43"/>
    <w:rsid w:val="00303C4E"/>
    <w:rsid w:val="003042C4"/>
    <w:rsid w:val="003066B3"/>
    <w:rsid w:val="00314327"/>
    <w:rsid w:val="00315B59"/>
    <w:rsid w:val="00317207"/>
    <w:rsid w:val="0032399B"/>
    <w:rsid w:val="00324F15"/>
    <w:rsid w:val="0033537A"/>
    <w:rsid w:val="00343F78"/>
    <w:rsid w:val="003464BD"/>
    <w:rsid w:val="003529F5"/>
    <w:rsid w:val="003573EF"/>
    <w:rsid w:val="00362C14"/>
    <w:rsid w:val="00365D07"/>
    <w:rsid w:val="0037075E"/>
    <w:rsid w:val="00383994"/>
    <w:rsid w:val="00383C62"/>
    <w:rsid w:val="003B039A"/>
    <w:rsid w:val="003B174D"/>
    <w:rsid w:val="003B5874"/>
    <w:rsid w:val="003C51DD"/>
    <w:rsid w:val="003C6B50"/>
    <w:rsid w:val="003D61F4"/>
    <w:rsid w:val="003E3280"/>
    <w:rsid w:val="003E6E74"/>
    <w:rsid w:val="003F4FA5"/>
    <w:rsid w:val="003F7116"/>
    <w:rsid w:val="0040288A"/>
    <w:rsid w:val="00406D92"/>
    <w:rsid w:val="0040737D"/>
    <w:rsid w:val="004142DD"/>
    <w:rsid w:val="004148EB"/>
    <w:rsid w:val="00415E49"/>
    <w:rsid w:val="00427564"/>
    <w:rsid w:val="0043129B"/>
    <w:rsid w:val="004463DE"/>
    <w:rsid w:val="00447BDF"/>
    <w:rsid w:val="00466245"/>
    <w:rsid w:val="00466AB6"/>
    <w:rsid w:val="004750F4"/>
    <w:rsid w:val="00483EF1"/>
    <w:rsid w:val="00485492"/>
    <w:rsid w:val="004956E2"/>
    <w:rsid w:val="004A4D99"/>
    <w:rsid w:val="004A59FD"/>
    <w:rsid w:val="004C0509"/>
    <w:rsid w:val="004C4253"/>
    <w:rsid w:val="004C74D1"/>
    <w:rsid w:val="004C794E"/>
    <w:rsid w:val="004D5015"/>
    <w:rsid w:val="004D78F5"/>
    <w:rsid w:val="004F444F"/>
    <w:rsid w:val="004F4D03"/>
    <w:rsid w:val="00504D5A"/>
    <w:rsid w:val="00506D63"/>
    <w:rsid w:val="00511135"/>
    <w:rsid w:val="00515DBA"/>
    <w:rsid w:val="00523332"/>
    <w:rsid w:val="00527E08"/>
    <w:rsid w:val="00533C28"/>
    <w:rsid w:val="00540FDA"/>
    <w:rsid w:val="005441C2"/>
    <w:rsid w:val="0055263A"/>
    <w:rsid w:val="00552DB7"/>
    <w:rsid w:val="00566C2D"/>
    <w:rsid w:val="00574B2A"/>
    <w:rsid w:val="00581E6B"/>
    <w:rsid w:val="00587CF9"/>
    <w:rsid w:val="00590D2C"/>
    <w:rsid w:val="00593928"/>
    <w:rsid w:val="005A3543"/>
    <w:rsid w:val="005B09FE"/>
    <w:rsid w:val="005C48DB"/>
    <w:rsid w:val="005E5D66"/>
    <w:rsid w:val="005F0586"/>
    <w:rsid w:val="00606C23"/>
    <w:rsid w:val="006075B3"/>
    <w:rsid w:val="006154FB"/>
    <w:rsid w:val="00621241"/>
    <w:rsid w:val="0062280B"/>
    <w:rsid w:val="006415E1"/>
    <w:rsid w:val="00641B21"/>
    <w:rsid w:val="00642793"/>
    <w:rsid w:val="00642DAC"/>
    <w:rsid w:val="0065613F"/>
    <w:rsid w:val="006617C1"/>
    <w:rsid w:val="00672F93"/>
    <w:rsid w:val="0067651E"/>
    <w:rsid w:val="00681389"/>
    <w:rsid w:val="00685B28"/>
    <w:rsid w:val="00691F32"/>
    <w:rsid w:val="006A35CF"/>
    <w:rsid w:val="006A5B03"/>
    <w:rsid w:val="006A73F5"/>
    <w:rsid w:val="006A77BB"/>
    <w:rsid w:val="006B34B7"/>
    <w:rsid w:val="006B632D"/>
    <w:rsid w:val="006B76D3"/>
    <w:rsid w:val="006C22C8"/>
    <w:rsid w:val="006C5B2F"/>
    <w:rsid w:val="006C67CB"/>
    <w:rsid w:val="006D08EB"/>
    <w:rsid w:val="006D76D6"/>
    <w:rsid w:val="006E2866"/>
    <w:rsid w:val="006E5CA7"/>
    <w:rsid w:val="007026BE"/>
    <w:rsid w:val="00707BFF"/>
    <w:rsid w:val="0071324B"/>
    <w:rsid w:val="0071401C"/>
    <w:rsid w:val="007245B1"/>
    <w:rsid w:val="00731D56"/>
    <w:rsid w:val="007467C4"/>
    <w:rsid w:val="007574FD"/>
    <w:rsid w:val="007635AA"/>
    <w:rsid w:val="0078071D"/>
    <w:rsid w:val="007824C6"/>
    <w:rsid w:val="00785728"/>
    <w:rsid w:val="007A0F7B"/>
    <w:rsid w:val="007B6506"/>
    <w:rsid w:val="007C5339"/>
    <w:rsid w:val="007C5BDD"/>
    <w:rsid w:val="007D35CB"/>
    <w:rsid w:val="007E53A2"/>
    <w:rsid w:val="007F2092"/>
    <w:rsid w:val="008077D8"/>
    <w:rsid w:val="00812C01"/>
    <w:rsid w:val="008230AD"/>
    <w:rsid w:val="00826BEA"/>
    <w:rsid w:val="00831A21"/>
    <w:rsid w:val="0085168A"/>
    <w:rsid w:val="008550C0"/>
    <w:rsid w:val="0085511C"/>
    <w:rsid w:val="00860AC7"/>
    <w:rsid w:val="0086164C"/>
    <w:rsid w:val="00874719"/>
    <w:rsid w:val="00876DD2"/>
    <w:rsid w:val="0087798D"/>
    <w:rsid w:val="00880A64"/>
    <w:rsid w:val="00895DF6"/>
    <w:rsid w:val="008B1E01"/>
    <w:rsid w:val="008B228E"/>
    <w:rsid w:val="008C153D"/>
    <w:rsid w:val="008C181C"/>
    <w:rsid w:val="008C6040"/>
    <w:rsid w:val="008C65BB"/>
    <w:rsid w:val="008D0D81"/>
    <w:rsid w:val="008D28CA"/>
    <w:rsid w:val="008D33BB"/>
    <w:rsid w:val="008D3FD0"/>
    <w:rsid w:val="008D58AF"/>
    <w:rsid w:val="008F09BA"/>
    <w:rsid w:val="009261B7"/>
    <w:rsid w:val="00930F1B"/>
    <w:rsid w:val="009328CE"/>
    <w:rsid w:val="00952F22"/>
    <w:rsid w:val="00955809"/>
    <w:rsid w:val="00963B72"/>
    <w:rsid w:val="009657E7"/>
    <w:rsid w:val="009745C7"/>
    <w:rsid w:val="009764BE"/>
    <w:rsid w:val="00994681"/>
    <w:rsid w:val="0099522B"/>
    <w:rsid w:val="009A14D0"/>
    <w:rsid w:val="009A364B"/>
    <w:rsid w:val="009A4107"/>
    <w:rsid w:val="009B78E5"/>
    <w:rsid w:val="009B7B9F"/>
    <w:rsid w:val="009B7BEB"/>
    <w:rsid w:val="009C4F08"/>
    <w:rsid w:val="009C6A25"/>
    <w:rsid w:val="009D1F0C"/>
    <w:rsid w:val="009E2CD1"/>
    <w:rsid w:val="009E33D5"/>
    <w:rsid w:val="009E5794"/>
    <w:rsid w:val="00A03C1A"/>
    <w:rsid w:val="00A05E20"/>
    <w:rsid w:val="00A1087E"/>
    <w:rsid w:val="00A143C5"/>
    <w:rsid w:val="00A2091E"/>
    <w:rsid w:val="00A21C33"/>
    <w:rsid w:val="00A425E8"/>
    <w:rsid w:val="00A44A68"/>
    <w:rsid w:val="00A46E8A"/>
    <w:rsid w:val="00A47024"/>
    <w:rsid w:val="00A47961"/>
    <w:rsid w:val="00A55155"/>
    <w:rsid w:val="00A60DB9"/>
    <w:rsid w:val="00A74438"/>
    <w:rsid w:val="00A87BE9"/>
    <w:rsid w:val="00A94124"/>
    <w:rsid w:val="00AA29AC"/>
    <w:rsid w:val="00AB5827"/>
    <w:rsid w:val="00AD02E2"/>
    <w:rsid w:val="00AF4413"/>
    <w:rsid w:val="00AF6483"/>
    <w:rsid w:val="00B049FA"/>
    <w:rsid w:val="00B06B7E"/>
    <w:rsid w:val="00B100F7"/>
    <w:rsid w:val="00B113F7"/>
    <w:rsid w:val="00B15052"/>
    <w:rsid w:val="00B16CC1"/>
    <w:rsid w:val="00B25847"/>
    <w:rsid w:val="00B26EBD"/>
    <w:rsid w:val="00B26F67"/>
    <w:rsid w:val="00B508A4"/>
    <w:rsid w:val="00B76830"/>
    <w:rsid w:val="00B85E82"/>
    <w:rsid w:val="00B932A1"/>
    <w:rsid w:val="00BA78AD"/>
    <w:rsid w:val="00BA7B90"/>
    <w:rsid w:val="00BB08AC"/>
    <w:rsid w:val="00BE452D"/>
    <w:rsid w:val="00BE62CE"/>
    <w:rsid w:val="00BE70D1"/>
    <w:rsid w:val="00BE72C5"/>
    <w:rsid w:val="00BF08FB"/>
    <w:rsid w:val="00C003A4"/>
    <w:rsid w:val="00C138B2"/>
    <w:rsid w:val="00C16F65"/>
    <w:rsid w:val="00C309CA"/>
    <w:rsid w:val="00C31A2D"/>
    <w:rsid w:val="00C43CC4"/>
    <w:rsid w:val="00C51A95"/>
    <w:rsid w:val="00C53517"/>
    <w:rsid w:val="00C60DFB"/>
    <w:rsid w:val="00C64583"/>
    <w:rsid w:val="00C65516"/>
    <w:rsid w:val="00C72887"/>
    <w:rsid w:val="00C734B5"/>
    <w:rsid w:val="00C84F55"/>
    <w:rsid w:val="00C859D7"/>
    <w:rsid w:val="00C93706"/>
    <w:rsid w:val="00CB46C2"/>
    <w:rsid w:val="00CB4E45"/>
    <w:rsid w:val="00CC6E90"/>
    <w:rsid w:val="00CD16C1"/>
    <w:rsid w:val="00CD39D8"/>
    <w:rsid w:val="00CD78C5"/>
    <w:rsid w:val="00CE2998"/>
    <w:rsid w:val="00D063C5"/>
    <w:rsid w:val="00D11627"/>
    <w:rsid w:val="00D17A84"/>
    <w:rsid w:val="00D237DA"/>
    <w:rsid w:val="00D27446"/>
    <w:rsid w:val="00D35469"/>
    <w:rsid w:val="00D40D5E"/>
    <w:rsid w:val="00D54216"/>
    <w:rsid w:val="00D70E09"/>
    <w:rsid w:val="00D8308D"/>
    <w:rsid w:val="00DA5975"/>
    <w:rsid w:val="00DC4110"/>
    <w:rsid w:val="00DC715D"/>
    <w:rsid w:val="00DE0478"/>
    <w:rsid w:val="00DE0C58"/>
    <w:rsid w:val="00DE1738"/>
    <w:rsid w:val="00DE2986"/>
    <w:rsid w:val="00DE2A2E"/>
    <w:rsid w:val="00E110AF"/>
    <w:rsid w:val="00E22A8C"/>
    <w:rsid w:val="00E24953"/>
    <w:rsid w:val="00E26D8C"/>
    <w:rsid w:val="00E52ACF"/>
    <w:rsid w:val="00E56EE0"/>
    <w:rsid w:val="00E612E5"/>
    <w:rsid w:val="00E61E33"/>
    <w:rsid w:val="00E863FF"/>
    <w:rsid w:val="00E93055"/>
    <w:rsid w:val="00E956EA"/>
    <w:rsid w:val="00EB1382"/>
    <w:rsid w:val="00EB3FA7"/>
    <w:rsid w:val="00EB5118"/>
    <w:rsid w:val="00EB6272"/>
    <w:rsid w:val="00EB65A4"/>
    <w:rsid w:val="00EC0D3F"/>
    <w:rsid w:val="00EC39F7"/>
    <w:rsid w:val="00ED5776"/>
    <w:rsid w:val="00EE151A"/>
    <w:rsid w:val="00EE2BE1"/>
    <w:rsid w:val="00EE36E9"/>
    <w:rsid w:val="00EE683F"/>
    <w:rsid w:val="00EF449E"/>
    <w:rsid w:val="00F01499"/>
    <w:rsid w:val="00F01FD9"/>
    <w:rsid w:val="00F067BC"/>
    <w:rsid w:val="00F07BB1"/>
    <w:rsid w:val="00F1229C"/>
    <w:rsid w:val="00F146FF"/>
    <w:rsid w:val="00F203D3"/>
    <w:rsid w:val="00F3004C"/>
    <w:rsid w:val="00F350A1"/>
    <w:rsid w:val="00F443F4"/>
    <w:rsid w:val="00F51F27"/>
    <w:rsid w:val="00F55674"/>
    <w:rsid w:val="00F72107"/>
    <w:rsid w:val="00F7596A"/>
    <w:rsid w:val="00F810ED"/>
    <w:rsid w:val="00F8396E"/>
    <w:rsid w:val="00F905CD"/>
    <w:rsid w:val="00F911A1"/>
    <w:rsid w:val="00FA15B4"/>
    <w:rsid w:val="00FA3441"/>
    <w:rsid w:val="00FA6652"/>
    <w:rsid w:val="00FB0794"/>
    <w:rsid w:val="00FB2022"/>
    <w:rsid w:val="00FC255B"/>
    <w:rsid w:val="00FC43A8"/>
    <w:rsid w:val="00FD4C06"/>
    <w:rsid w:val="00FE6EEF"/>
    <w:rsid w:val="00FF1286"/>
    <w:rsid w:val="00FF206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06762"/>
  <w15:chartTrackingRefBased/>
  <w15:docId w15:val="{03038F49-8EC9-4D49-8D64-C8CEAAB6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D7"/>
  </w:style>
  <w:style w:type="paragraph" w:styleId="Ttulo1">
    <w:name w:val="heading 1"/>
    <w:basedOn w:val="Normal"/>
    <w:next w:val="Normal"/>
    <w:link w:val="Ttulo1Car"/>
    <w:uiPriority w:val="9"/>
    <w:qFormat/>
    <w:rsid w:val="00C859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859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859D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859D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859D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859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59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59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59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59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859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859D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859D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859D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859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59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59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59D7"/>
    <w:rPr>
      <w:rFonts w:eastAsiaTheme="majorEastAsia" w:cstheme="majorBidi"/>
      <w:color w:val="272727" w:themeColor="text1" w:themeTint="D8"/>
    </w:rPr>
  </w:style>
  <w:style w:type="paragraph" w:styleId="Ttulo">
    <w:name w:val="Title"/>
    <w:basedOn w:val="Normal"/>
    <w:next w:val="Normal"/>
    <w:link w:val="TtuloCar"/>
    <w:qFormat/>
    <w:rsid w:val="00C85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C859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59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59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59D7"/>
    <w:pPr>
      <w:spacing w:before="160"/>
      <w:jc w:val="center"/>
    </w:pPr>
    <w:rPr>
      <w:i/>
      <w:iCs/>
      <w:color w:val="404040" w:themeColor="text1" w:themeTint="BF"/>
    </w:rPr>
  </w:style>
  <w:style w:type="character" w:customStyle="1" w:styleId="CitaCar">
    <w:name w:val="Cita Car"/>
    <w:basedOn w:val="Fuentedeprrafopredeter"/>
    <w:link w:val="Cita"/>
    <w:uiPriority w:val="29"/>
    <w:rsid w:val="00C859D7"/>
    <w:rPr>
      <w:i/>
      <w:iCs/>
      <w:color w:val="404040" w:themeColor="text1" w:themeTint="BF"/>
    </w:rPr>
  </w:style>
  <w:style w:type="paragraph" w:styleId="Prrafodelista">
    <w:name w:val="List Paragraph"/>
    <w:basedOn w:val="Normal"/>
    <w:uiPriority w:val="34"/>
    <w:qFormat/>
    <w:rsid w:val="00C859D7"/>
    <w:pPr>
      <w:ind w:left="720"/>
      <w:contextualSpacing/>
    </w:pPr>
  </w:style>
  <w:style w:type="character" w:styleId="nfasisintenso">
    <w:name w:val="Intense Emphasis"/>
    <w:basedOn w:val="Fuentedeprrafopredeter"/>
    <w:uiPriority w:val="21"/>
    <w:qFormat/>
    <w:rsid w:val="00C859D7"/>
    <w:rPr>
      <w:i/>
      <w:iCs/>
      <w:color w:val="2F5496" w:themeColor="accent1" w:themeShade="BF"/>
    </w:rPr>
  </w:style>
  <w:style w:type="paragraph" w:styleId="Citadestacada">
    <w:name w:val="Intense Quote"/>
    <w:basedOn w:val="Normal"/>
    <w:next w:val="Normal"/>
    <w:link w:val="CitadestacadaCar"/>
    <w:uiPriority w:val="30"/>
    <w:qFormat/>
    <w:rsid w:val="00C85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859D7"/>
    <w:rPr>
      <w:i/>
      <w:iCs/>
      <w:color w:val="2F5496" w:themeColor="accent1" w:themeShade="BF"/>
    </w:rPr>
  </w:style>
  <w:style w:type="character" w:styleId="Referenciaintensa">
    <w:name w:val="Intense Reference"/>
    <w:basedOn w:val="Fuentedeprrafopredeter"/>
    <w:uiPriority w:val="32"/>
    <w:qFormat/>
    <w:rsid w:val="00C859D7"/>
    <w:rPr>
      <w:b/>
      <w:bCs/>
      <w:smallCaps/>
      <w:color w:val="2F5496" w:themeColor="accent1" w:themeShade="BF"/>
      <w:spacing w:val="5"/>
    </w:rPr>
  </w:style>
  <w:style w:type="character" w:styleId="Hipervnculo">
    <w:name w:val="Hyperlink"/>
    <w:basedOn w:val="Fuentedeprrafopredeter"/>
    <w:uiPriority w:val="99"/>
    <w:unhideWhenUsed/>
    <w:rsid w:val="00C859D7"/>
    <w:rPr>
      <w:color w:val="0563C1" w:themeColor="hyperlink"/>
      <w:u w:val="single"/>
    </w:rPr>
  </w:style>
  <w:style w:type="paragraph" w:styleId="NormalWeb">
    <w:name w:val="Normal (Web)"/>
    <w:basedOn w:val="Normal"/>
    <w:uiPriority w:val="99"/>
    <w:unhideWhenUsed/>
    <w:rsid w:val="00C859D7"/>
    <w:pPr>
      <w:spacing w:before="100" w:beforeAutospacing="1" w:after="100" w:afterAutospacing="1" w:line="240" w:lineRule="auto"/>
    </w:pPr>
    <w:rPr>
      <w:rFonts w:ascii="Times New Roman" w:eastAsiaTheme="minorEastAsia" w:hAnsi="Times New Roman" w:cs="Times New Roman"/>
      <w:kern w:val="0"/>
      <w:sz w:val="24"/>
      <w:szCs w:val="24"/>
      <w:lang w:eastAsia="es-ES"/>
      <w14:ligatures w14:val="none"/>
    </w:rPr>
  </w:style>
  <w:style w:type="character" w:styleId="Fuerte">
    <w:name w:val="Strong"/>
    <w:basedOn w:val="Fuentedeprrafopredeter"/>
    <w:uiPriority w:val="22"/>
    <w:qFormat/>
    <w:rsid w:val="00C859D7"/>
    <w:rPr>
      <w:b/>
      <w:bCs/>
    </w:rPr>
  </w:style>
  <w:style w:type="paragraph" w:styleId="Encabezado">
    <w:name w:val="header"/>
    <w:basedOn w:val="Normal"/>
    <w:link w:val="EncabezadoCar"/>
    <w:rsid w:val="00BB08AC"/>
    <w:pPr>
      <w:tabs>
        <w:tab w:val="center" w:pos="4252"/>
        <w:tab w:val="right" w:pos="8504"/>
      </w:tabs>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EncabezadoCar">
    <w:name w:val="Encabezado Car"/>
    <w:basedOn w:val="Fuentedeprrafopredeter"/>
    <w:link w:val="Encabezado"/>
    <w:rsid w:val="00BB08AC"/>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uiPriority w:val="99"/>
    <w:unhideWhenUsed/>
    <w:rsid w:val="003E32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280"/>
  </w:style>
  <w:style w:type="paragraph" w:styleId="Revisin">
    <w:name w:val="Revision"/>
    <w:hidden/>
    <w:uiPriority w:val="99"/>
    <w:semiHidden/>
    <w:rsid w:val="00F30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6c3c49-9f20-41ed-96e7-dbe41628579a">
      <Terms xmlns="http://schemas.microsoft.com/office/infopath/2007/PartnerControls"/>
    </lcf76f155ced4ddcb4097134ff3c332f>
    <TaxCatchAll xmlns="ad3d6386-bc0e-491c-aaea-8793714704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E75A6B704DE43B3C6BD52F0DFA30D" ma:contentTypeVersion="12" ma:contentTypeDescription="Create a new document." ma:contentTypeScope="" ma:versionID="81e8ff3b09210316fe1c0edc98d22c07">
  <xsd:schema xmlns:xsd="http://www.w3.org/2001/XMLSchema" xmlns:xs="http://www.w3.org/2001/XMLSchema" xmlns:p="http://schemas.microsoft.com/office/2006/metadata/properties" xmlns:ns2="a06c3c49-9f20-41ed-96e7-dbe41628579a" xmlns:ns3="ad3d6386-bc0e-491c-aaea-87937147045f" targetNamespace="http://schemas.microsoft.com/office/2006/metadata/properties" ma:root="true" ma:fieldsID="dd6e7ed2e837b7c7a845eb8bca96df84" ns2:_="" ns3:_="">
    <xsd:import namespace="a06c3c49-9f20-41ed-96e7-dbe41628579a"/>
    <xsd:import namespace="ad3d6386-bc0e-491c-aaea-879371470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3c49-9f20-41ed-96e7-dbe416285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0e8668-2b83-4dc3-9a45-1c0d239e17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3d6386-bc0e-491c-aaea-879371470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ba5f43-716c-4547-8e5d-cf073550006f}" ma:internalName="TaxCatchAll" ma:showField="CatchAllData" ma:web="ad3d6386-bc0e-491c-aaea-879371470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5E72D-2555-4482-8F6F-60F854626B63}">
  <ds:schemaRefs>
    <ds:schemaRef ds:uri="http://schemas.microsoft.com/sharepoint/v3/contenttype/forms"/>
  </ds:schemaRefs>
</ds:datastoreItem>
</file>

<file path=customXml/itemProps2.xml><?xml version="1.0" encoding="utf-8"?>
<ds:datastoreItem xmlns:ds="http://schemas.openxmlformats.org/officeDocument/2006/customXml" ds:itemID="{F53934F7-5283-4A04-9936-263AA6E01CB0}">
  <ds:schemaRefs>
    <ds:schemaRef ds:uri="http://schemas.microsoft.com/office/2006/metadata/properties"/>
    <ds:schemaRef ds:uri="http://schemas.microsoft.com/office/infopath/2007/PartnerControls"/>
    <ds:schemaRef ds:uri="a06c3c49-9f20-41ed-96e7-dbe41628579a"/>
    <ds:schemaRef ds:uri="ad3d6386-bc0e-491c-aaea-87937147045f"/>
  </ds:schemaRefs>
</ds:datastoreItem>
</file>

<file path=customXml/itemProps3.xml><?xml version="1.0" encoding="utf-8"?>
<ds:datastoreItem xmlns:ds="http://schemas.openxmlformats.org/officeDocument/2006/customXml" ds:itemID="{BB82EF0F-9D41-423C-89E1-6B7A9D13F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3c49-9f20-41ed-96e7-dbe41628579a"/>
    <ds:schemaRef ds:uri="ad3d6386-bc0e-491c-aaea-879371470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faefe1-753e-4ef8-b700-def26fcd8990}" enabled="0" method="" siteId="{8dfaefe1-753e-4ef8-b700-def26fcd899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2899</Words>
  <Characters>15946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CAF</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Azketa</dc:creator>
  <cp:keywords/>
  <dc:description/>
  <cp:lastModifiedBy>AINHOA Lizarralde</cp:lastModifiedBy>
  <cp:revision>100</cp:revision>
  <cp:lastPrinted>2026-05-28T08:40:00Z</cp:lastPrinted>
  <dcterms:created xsi:type="dcterms:W3CDTF">2026-03-26T20:37:00Z</dcterms:created>
  <dcterms:modified xsi:type="dcterms:W3CDTF">2026-06-09T09:21:00Z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0x01010069BE75A6B704DE43B3C6BD52F0DFA30D</vt:lpwstr>
  </property>
  <property fmtid="{D5CDD505-2E9C-101B-9397-08002B2CF9AE}" pid="3" name="MediaServiceImageTags">
    <vt:lpwstr/>
  </property>
</Properties>
</file>