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C5973" w14:textId="77777777" w:rsidR="003464BD" w:rsidRPr="004C74D1" w:rsidRDefault="003464BD" w:rsidP="003464BD">
      <w:pPr>
        <w:spacing w:after="0" w:line="360" w:lineRule="auto"/>
        <w:jc w:val="both"/>
        <w:rPr>
          <w:rFonts w:asciiTheme="minorBidi" w:eastAsia="Times New Roman" w:hAnsiTheme="minorBidi"/>
          <w:kern w:val="0"/>
          <w:sz w:val="24"/>
          <w:szCs w:val="24"/>
          <w:lang w:eastAsia="es-ES"/>
          <w14:ligatures w14:val="none"/>
        </w:rPr>
      </w:pPr>
    </w:p>
    <w:p w14:paraId="3C44D4D4" w14:textId="56BA13D3" w:rsidR="00BB08AC" w:rsidRPr="004C74D1" w:rsidRDefault="00A03C1A" w:rsidP="00BB08AC">
      <w:pPr>
        <w:pStyle w:val="Encabezado"/>
        <w:jc w:val="right"/>
        <w:rPr>
          <w:rFonts w:asciiTheme="minorBidi" w:hAnsiTheme="minorBidi" w:cstheme="minorBidi"/>
          <w:sz w:val="26"/>
          <w:szCs w:val="26"/>
        </w:rPr>
      </w:pPr>
      <w:r>
        <w:rPr>
          <w:rFonts w:asciiTheme="minorBidi" w:hAnsiTheme="minorBidi"/>
          <w:sz w:val="26"/>
        </w:rPr>
        <w:t>202</w:t>
      </w:r>
      <w:r w:rsidR="00897D81">
        <w:rPr>
          <w:rFonts w:asciiTheme="minorBidi" w:hAnsiTheme="minorBidi"/>
          <w:sz w:val="26"/>
        </w:rPr>
        <w:t>6</w:t>
      </w:r>
      <w:r>
        <w:rPr>
          <w:rFonts w:asciiTheme="minorBidi" w:hAnsiTheme="minorBidi"/>
          <w:sz w:val="26"/>
        </w:rPr>
        <w:t>/06/13</w:t>
      </w:r>
    </w:p>
    <w:p w14:paraId="7CCC14BF" w14:textId="77777777" w:rsidR="00BB08AC" w:rsidRPr="004C74D1" w:rsidRDefault="00BB08AC" w:rsidP="003464BD">
      <w:pPr>
        <w:spacing w:after="0" w:line="360" w:lineRule="auto"/>
        <w:jc w:val="center"/>
        <w:outlineLvl w:val="0"/>
        <w:rPr>
          <w:rFonts w:asciiTheme="minorBidi" w:eastAsia="Times New Roman" w:hAnsiTheme="minorBidi"/>
          <w:kern w:val="0"/>
          <w:sz w:val="26"/>
          <w:szCs w:val="26"/>
          <w:lang w:eastAsia="es-ES"/>
          <w14:ligatures w14:val="none"/>
        </w:rPr>
      </w:pPr>
    </w:p>
    <w:p w14:paraId="03B050D8" w14:textId="5D3CB3D7" w:rsidR="003464BD" w:rsidRPr="004C74D1" w:rsidRDefault="003464BD" w:rsidP="003464BD">
      <w:pPr>
        <w:spacing w:after="0" w:line="360" w:lineRule="auto"/>
        <w:jc w:val="center"/>
        <w:outlineLvl w:val="0"/>
        <w:rPr>
          <w:rFonts w:asciiTheme="minorBidi" w:eastAsia="Times New Roman" w:hAnsiTheme="minorBidi"/>
          <w:kern w:val="0"/>
          <w:sz w:val="26"/>
          <w:szCs w:val="26"/>
          <w14:ligatures w14:val="none"/>
        </w:rPr>
      </w:pPr>
      <w:r>
        <w:rPr>
          <w:rFonts w:asciiTheme="minorBidi" w:hAnsiTheme="minorBidi"/>
          <w:sz w:val="26"/>
        </w:rPr>
        <w:t>CONSTRUCCIONES Y AUXILIAR DE FERROCARRILES SA (CAF) ENPRESAKO KONTSEILARI DELEGATUAREN, JAVIER MARTÍNEZ OJINAGA JAUNAREN, HITZALDIA AKZIODUNEN BATZAR OROKORREAN. 2025EKO EKITALDIA.</w:t>
      </w:r>
    </w:p>
    <w:p w14:paraId="1E1A2D90" w14:textId="77777777" w:rsidR="003464BD" w:rsidRPr="004C74D1" w:rsidRDefault="003464BD" w:rsidP="003464BD">
      <w:pPr>
        <w:spacing w:after="0" w:line="360" w:lineRule="auto"/>
        <w:ind w:left="-737" w:right="-737"/>
        <w:jc w:val="center"/>
        <w:rPr>
          <w:rFonts w:asciiTheme="minorBidi" w:eastAsia="Times New Roman" w:hAnsiTheme="minorBidi"/>
          <w:kern w:val="0"/>
          <w:sz w:val="26"/>
          <w:szCs w:val="26"/>
          <w14:ligatures w14:val="none"/>
        </w:rPr>
      </w:pPr>
    </w:p>
    <w:p w14:paraId="6D529E8A" w14:textId="77777777" w:rsidR="003464BD" w:rsidRPr="004C74D1" w:rsidRDefault="003464BD" w:rsidP="003464BD">
      <w:pPr>
        <w:spacing w:after="0" w:line="360" w:lineRule="auto"/>
        <w:ind w:left="-737" w:right="-737"/>
        <w:jc w:val="center"/>
        <w:rPr>
          <w:rFonts w:asciiTheme="minorBidi" w:eastAsia="Times New Roman" w:hAnsiTheme="minorBidi"/>
          <w:kern w:val="0"/>
          <w:sz w:val="26"/>
          <w:szCs w:val="26"/>
          <w14:ligatures w14:val="none"/>
        </w:rPr>
      </w:pPr>
    </w:p>
    <w:p w14:paraId="1598FAF0" w14:textId="77777777" w:rsidR="003464BD" w:rsidRPr="004C74D1" w:rsidRDefault="003464BD" w:rsidP="003464BD">
      <w:pPr>
        <w:spacing w:after="0" w:line="360" w:lineRule="auto"/>
        <w:jc w:val="center"/>
        <w:rPr>
          <w:rFonts w:asciiTheme="minorBidi" w:eastAsia="Times New Roman" w:hAnsiTheme="minorBidi"/>
          <w:kern w:val="0"/>
          <w:sz w:val="26"/>
          <w:szCs w:val="26"/>
          <w14:ligatures w14:val="none"/>
        </w:rPr>
      </w:pPr>
    </w:p>
    <w:p w14:paraId="28DF84C2" w14:textId="16C1E902" w:rsidR="003464BD" w:rsidRPr="004C74D1" w:rsidRDefault="003464BD" w:rsidP="003464BD">
      <w:pPr>
        <w:spacing w:after="0" w:line="360" w:lineRule="auto"/>
        <w:jc w:val="center"/>
        <w:outlineLvl w:val="0"/>
        <w:rPr>
          <w:rFonts w:asciiTheme="minorBidi" w:eastAsia="Times New Roman" w:hAnsiTheme="minorBidi"/>
          <w:kern w:val="0"/>
          <w:sz w:val="26"/>
          <w:szCs w:val="26"/>
          <w14:ligatures w14:val="none"/>
        </w:rPr>
      </w:pPr>
    </w:p>
    <w:p w14:paraId="1AB297F7" w14:textId="77777777" w:rsidR="003464BD" w:rsidRPr="004C74D1" w:rsidRDefault="003464BD" w:rsidP="008B228E">
      <w:pPr>
        <w:rPr>
          <w:rFonts w:asciiTheme="minorBidi" w:hAnsiTheme="minorBidi"/>
          <w:sz w:val="26"/>
          <w:szCs w:val="26"/>
        </w:rPr>
      </w:pPr>
    </w:p>
    <w:p w14:paraId="08CED470" w14:textId="77777777" w:rsidR="00E56EE0" w:rsidRPr="004C74D1" w:rsidRDefault="00E56EE0" w:rsidP="00E56EE0">
      <w:pPr>
        <w:pStyle w:val="Ttulo"/>
        <w:spacing w:line="360" w:lineRule="auto"/>
        <w:jc w:val="both"/>
        <w:rPr>
          <w:rFonts w:asciiTheme="minorBidi" w:hAnsiTheme="minorBidi" w:cstheme="minorBidi"/>
          <w:i/>
          <w:sz w:val="26"/>
          <w:szCs w:val="26"/>
        </w:rPr>
      </w:pPr>
    </w:p>
    <w:p w14:paraId="01B886C3" w14:textId="2CCF89F6" w:rsidR="00E56EE0" w:rsidRPr="004C74D1" w:rsidRDefault="00E56EE0" w:rsidP="00E56EE0">
      <w:pPr>
        <w:pStyle w:val="Ttulo"/>
        <w:spacing w:line="360" w:lineRule="auto"/>
        <w:jc w:val="both"/>
        <w:rPr>
          <w:rFonts w:asciiTheme="minorBidi" w:hAnsiTheme="minorBidi" w:cstheme="minorBidi"/>
          <w:i/>
          <w:iCs/>
          <w:color w:val="7F7F7F"/>
          <w:sz w:val="26"/>
          <w:szCs w:val="26"/>
        </w:rPr>
      </w:pPr>
      <w:r>
        <w:rPr>
          <w:rFonts w:asciiTheme="minorBidi" w:hAnsiTheme="minorBidi"/>
          <w:i/>
          <w:color w:val="7F7F7F"/>
          <w:sz w:val="26"/>
        </w:rPr>
        <w:t>[Sarrera]</w:t>
      </w:r>
    </w:p>
    <w:p w14:paraId="073EFB91" w14:textId="4F7FD631" w:rsidR="00256B42" w:rsidRPr="004C74D1" w:rsidRDefault="008B228E" w:rsidP="00256B42">
      <w:pPr>
        <w:spacing w:line="360" w:lineRule="auto"/>
        <w:jc w:val="both"/>
        <w:rPr>
          <w:rFonts w:asciiTheme="minorBidi" w:hAnsiTheme="minorBidi"/>
          <w:sz w:val="26"/>
          <w:szCs w:val="26"/>
        </w:rPr>
      </w:pPr>
      <w:r>
        <w:rPr>
          <w:rFonts w:asciiTheme="minorBidi" w:hAnsiTheme="minorBidi"/>
          <w:sz w:val="26"/>
        </w:rPr>
        <w:t>Akziodun jaun-andreok, egun on, eta eskerrik asko aurten ere Batzar Orokorrean gurekin egoteagatik.</w:t>
      </w:r>
    </w:p>
    <w:p w14:paraId="1645A5B2" w14:textId="497AACC6" w:rsidR="00256B42" w:rsidRPr="004C74D1" w:rsidRDefault="0012488E" w:rsidP="007245B1">
      <w:pPr>
        <w:spacing w:line="360" w:lineRule="auto"/>
        <w:jc w:val="both"/>
        <w:rPr>
          <w:rFonts w:asciiTheme="minorBidi" w:hAnsiTheme="minorBidi"/>
          <w:sz w:val="26"/>
          <w:szCs w:val="26"/>
        </w:rPr>
      </w:pPr>
      <w:r>
        <w:rPr>
          <w:rFonts w:asciiTheme="minorBidi" w:hAnsiTheme="minorBidi"/>
          <w:sz w:val="26"/>
        </w:rPr>
        <w:t>Gaur, 2025eko ekitaldiko emaitzak aurkeztu, konpainiaren egungo egoerari buruz dugun ikuspegia azaldu, eta, batez ere, CAFen etorkizuna oinarri industrial sendo, errentagarri eta jasangarritik nola eraikitzen ari garen azaldu nahi dizuet.</w:t>
      </w:r>
    </w:p>
    <w:p w14:paraId="3EE185A0" w14:textId="6E1AE70F" w:rsidR="007245B1" w:rsidRPr="004C74D1" w:rsidRDefault="00256B42" w:rsidP="007245B1">
      <w:pPr>
        <w:spacing w:line="360" w:lineRule="auto"/>
        <w:jc w:val="both"/>
        <w:rPr>
          <w:rFonts w:asciiTheme="minorBidi" w:hAnsiTheme="minorBidi"/>
          <w:sz w:val="26"/>
          <w:szCs w:val="26"/>
        </w:rPr>
      </w:pPr>
      <w:r>
        <w:rPr>
          <w:rFonts w:asciiTheme="minorBidi" w:hAnsiTheme="minorBidi"/>
          <w:sz w:val="26"/>
        </w:rPr>
        <w:t xml:space="preserve">Lehenengo eta behin, zuen baimenarekin, gogoeta laburra egin nahiko nuke. </w:t>
      </w:r>
    </w:p>
    <w:p w14:paraId="70D2F774" w14:textId="370AACAB" w:rsidR="000879A6" w:rsidRDefault="000879A6" w:rsidP="001B2BCB">
      <w:pPr>
        <w:spacing w:line="360" w:lineRule="auto"/>
        <w:jc w:val="both"/>
        <w:rPr>
          <w:rFonts w:asciiTheme="minorBidi" w:hAnsiTheme="minorBidi"/>
          <w:sz w:val="26"/>
          <w:szCs w:val="26"/>
        </w:rPr>
      </w:pPr>
      <w:r>
        <w:rPr>
          <w:rFonts w:asciiTheme="minorBidi" w:hAnsiTheme="minorBidi"/>
          <w:sz w:val="26"/>
        </w:rPr>
        <w:t xml:space="preserve">Azken ekitaldiotako testuingurua konplexua ari da izaten, tentsio geopolitikoak eta doikuntza makroekonomikoak gertatu baitira, eta aldaketa teknologikoak eta erregulazio-aldaketak bizkortu egin baitira. </w:t>
      </w:r>
    </w:p>
    <w:p w14:paraId="66096C5C" w14:textId="503F93DF" w:rsidR="001B2BCB" w:rsidRPr="004C74D1" w:rsidRDefault="0012488E" w:rsidP="001B2BCB">
      <w:pPr>
        <w:spacing w:line="360" w:lineRule="auto"/>
        <w:jc w:val="both"/>
        <w:rPr>
          <w:rFonts w:asciiTheme="minorBidi" w:hAnsiTheme="minorBidi"/>
          <w:sz w:val="26"/>
          <w:szCs w:val="26"/>
        </w:rPr>
      </w:pPr>
      <w:r>
        <w:rPr>
          <w:rFonts w:asciiTheme="minorBidi" w:hAnsiTheme="minorBidi"/>
          <w:sz w:val="26"/>
        </w:rPr>
        <w:t>Ingurune horrek, ondorioz, zuhurtzia, diziplina eta estrategia argia eskatzen dizkigu.</w:t>
      </w:r>
    </w:p>
    <w:p w14:paraId="655978EC" w14:textId="097C943B" w:rsidR="001B2BCB" w:rsidRPr="004C74D1" w:rsidRDefault="0067651E" w:rsidP="00F8396E">
      <w:pPr>
        <w:spacing w:line="360" w:lineRule="auto"/>
        <w:jc w:val="both"/>
        <w:rPr>
          <w:rFonts w:asciiTheme="minorBidi" w:hAnsiTheme="minorBidi"/>
          <w:sz w:val="26"/>
          <w:szCs w:val="26"/>
        </w:rPr>
      </w:pPr>
      <w:r>
        <w:rPr>
          <w:rFonts w:asciiTheme="minorBidi" w:hAnsiTheme="minorBidi"/>
          <w:sz w:val="26"/>
        </w:rPr>
        <w:t xml:space="preserve">Testuinguru horretan, CAFek irmotasunez egin du aurrera Taldearen jarduera positiboa izateaz gain, jarduera horrek gure industria-ereduaren </w:t>
      </w:r>
      <w:r>
        <w:rPr>
          <w:rFonts w:asciiTheme="minorBidi" w:hAnsiTheme="minorBidi"/>
          <w:sz w:val="26"/>
        </w:rPr>
        <w:lastRenderedPageBreak/>
        <w:t>sendotasuna eta iraganean hartutako erabaki estrategikoen koherentzia berretsi ditu.</w:t>
      </w:r>
    </w:p>
    <w:p w14:paraId="63951608" w14:textId="17B3F222" w:rsidR="0067651E" w:rsidRPr="004C74D1" w:rsidRDefault="0012488E" w:rsidP="00F8396E">
      <w:pPr>
        <w:spacing w:line="360" w:lineRule="auto"/>
        <w:jc w:val="both"/>
        <w:rPr>
          <w:rFonts w:asciiTheme="minorBidi" w:hAnsiTheme="minorBidi"/>
          <w:sz w:val="26"/>
          <w:szCs w:val="26"/>
        </w:rPr>
      </w:pPr>
      <w:r>
        <w:rPr>
          <w:rFonts w:asciiTheme="minorBidi" w:hAnsiTheme="minorBidi"/>
          <w:sz w:val="26"/>
        </w:rPr>
        <w:t xml:space="preserve">Baina, hala eta guztiz ere, kontuan izan behar dugu </w:t>
      </w:r>
      <w:proofErr w:type="spellStart"/>
      <w:r>
        <w:rPr>
          <w:rFonts w:asciiTheme="minorBidi" w:hAnsiTheme="minorBidi"/>
          <w:sz w:val="26"/>
        </w:rPr>
        <w:t>hegakortasuna</w:t>
      </w:r>
      <w:proofErr w:type="spellEnd"/>
      <w:r>
        <w:rPr>
          <w:rFonts w:asciiTheme="minorBidi" w:hAnsiTheme="minorBidi"/>
          <w:sz w:val="26"/>
        </w:rPr>
        <w:t xml:space="preserve"> jarduera-ingurunearen elementu estruktural bihurtu dela. Aurrez ikusteko zailagoa den testuingurua dugu aurrean; arriskuak azkar eta irismen sistemikoarekin gauza daitezke, eta horrek mundu mailan lehiatu ahal izateko baldintzak berriz definitzen ditu. </w:t>
      </w:r>
    </w:p>
    <w:p w14:paraId="725846D6" w14:textId="0A3A6D7A" w:rsidR="0067651E" w:rsidRPr="004C74D1" w:rsidRDefault="0067651E" w:rsidP="00427564">
      <w:pPr>
        <w:spacing w:line="360" w:lineRule="auto"/>
        <w:jc w:val="both"/>
        <w:rPr>
          <w:rFonts w:asciiTheme="minorBidi" w:hAnsiTheme="minorBidi"/>
          <w:sz w:val="26"/>
          <w:szCs w:val="26"/>
        </w:rPr>
      </w:pPr>
      <w:r>
        <w:rPr>
          <w:rFonts w:asciiTheme="minorBidi" w:hAnsiTheme="minorBidi"/>
          <w:sz w:val="26"/>
        </w:rPr>
        <w:t>Enpresa liderrak beren jarduteko modua eraldatzen ari dira aldakortasun hori kudeatzeko, jarduera bera zein marjinak babesteko beharrezkoa den malgutasuna eraikiz. Gainera, beren erabakiak industria-geopolitikarekin lerrokatzen ari dira, eta eskualde bakoitzerako hazkunde- eta inbertsio-estrategia espezifikoak garatzen ari dira.</w:t>
      </w:r>
    </w:p>
    <w:p w14:paraId="54217765" w14:textId="4659C895" w:rsidR="00DE0C58" w:rsidRPr="004C74D1" w:rsidRDefault="00DE0C58" w:rsidP="0067651E">
      <w:pPr>
        <w:spacing w:line="360" w:lineRule="auto"/>
        <w:jc w:val="both"/>
        <w:rPr>
          <w:rFonts w:asciiTheme="minorBidi" w:hAnsiTheme="minorBidi"/>
          <w:sz w:val="26"/>
          <w:szCs w:val="26"/>
        </w:rPr>
      </w:pPr>
      <w:r>
        <w:rPr>
          <w:rFonts w:asciiTheme="minorBidi" w:hAnsiTheme="minorBidi"/>
          <w:sz w:val="26"/>
        </w:rPr>
        <w:t>Hain zuzen ere, hori ere bada CAFen jarduketa bideratzen duen ikuspegia.</w:t>
      </w:r>
    </w:p>
    <w:p w14:paraId="2564349B" w14:textId="47DC83B9" w:rsidR="00256B42" w:rsidRPr="004C74D1" w:rsidRDefault="00256B42" w:rsidP="003F7116">
      <w:pPr>
        <w:spacing w:line="360" w:lineRule="auto"/>
        <w:rPr>
          <w:rFonts w:asciiTheme="minorBidi" w:hAnsiTheme="minorBidi"/>
          <w:i/>
          <w:iCs/>
          <w:color w:val="7F7F7F"/>
          <w:sz w:val="26"/>
          <w:szCs w:val="26"/>
        </w:rPr>
      </w:pPr>
      <w:r>
        <w:rPr>
          <w:rFonts w:asciiTheme="minorBidi" w:hAnsiTheme="minorBidi"/>
          <w:i/>
          <w:color w:val="7F7F7F"/>
          <w:sz w:val="26"/>
        </w:rPr>
        <w:t>Finantza arloko emaitzak: hazkundea, errentagarritasuna eta sendotasuna</w:t>
      </w:r>
    </w:p>
    <w:p w14:paraId="1EAC9B09" w14:textId="489F77D7" w:rsidR="007A0F7B" w:rsidRPr="004C74D1" w:rsidRDefault="00427564" w:rsidP="007A0F7B">
      <w:pPr>
        <w:spacing w:line="360" w:lineRule="auto"/>
        <w:jc w:val="both"/>
        <w:rPr>
          <w:rFonts w:asciiTheme="minorBidi" w:hAnsiTheme="minorBidi"/>
          <w:sz w:val="26"/>
          <w:szCs w:val="26"/>
        </w:rPr>
      </w:pPr>
      <w:r>
        <w:rPr>
          <w:rFonts w:asciiTheme="minorBidi" w:hAnsiTheme="minorBidi"/>
          <w:sz w:val="26"/>
        </w:rPr>
        <w:t xml:space="preserve">Emaitzei dagokienez, 2025a hazkunde errentagarriaren, aurrerapen estrategikoaren eta bezeroen, langileen zein akziodunen konfiantza sendotu den urtea izan da. </w:t>
      </w:r>
    </w:p>
    <w:p w14:paraId="266D36A8" w14:textId="69626482" w:rsidR="0009261E" w:rsidRPr="004C74D1" w:rsidRDefault="00FA3441" w:rsidP="00256B42">
      <w:pPr>
        <w:spacing w:line="360" w:lineRule="auto"/>
        <w:jc w:val="both"/>
        <w:rPr>
          <w:rFonts w:asciiTheme="minorBidi" w:hAnsiTheme="minorBidi"/>
          <w:sz w:val="26"/>
          <w:szCs w:val="26"/>
        </w:rPr>
      </w:pPr>
      <w:r>
        <w:rPr>
          <w:rFonts w:asciiTheme="minorBidi" w:hAnsiTheme="minorBidi"/>
          <w:sz w:val="26"/>
        </w:rPr>
        <w:t xml:space="preserve">Taldeak 4.487 milioi euroko salmentak lortu zituen, aurreko urtean baino % 7 gehiago. </w:t>
      </w:r>
    </w:p>
    <w:p w14:paraId="1042E186" w14:textId="7D70DBA9" w:rsidR="00256B42" w:rsidRPr="004C74D1" w:rsidRDefault="00256B42" w:rsidP="00256B42">
      <w:pPr>
        <w:spacing w:line="360" w:lineRule="auto"/>
        <w:jc w:val="both"/>
        <w:rPr>
          <w:rFonts w:asciiTheme="minorBidi" w:hAnsiTheme="minorBidi"/>
          <w:sz w:val="26"/>
          <w:szCs w:val="26"/>
        </w:rPr>
      </w:pPr>
      <w:r>
        <w:rPr>
          <w:rFonts w:asciiTheme="minorBidi" w:hAnsiTheme="minorBidi"/>
          <w:sz w:val="26"/>
        </w:rPr>
        <w:t>Hazkunde hori ez da egoera koiunturalen ondorioa, negozioaren bilakaera orekatuaren emaitza baizik; kontratazio sendoan, exekuzio eraginkorrean eta dibertsifikazio geografiko eta teknologikoan oinarritua. Horiexek dira, hain zuzen ere, egonkortasuneko palankak.</w:t>
      </w:r>
    </w:p>
    <w:p w14:paraId="32AB1A41" w14:textId="77777777" w:rsidR="0009261E" w:rsidRPr="004C74D1" w:rsidRDefault="00256B42" w:rsidP="00256B42">
      <w:pPr>
        <w:spacing w:line="360" w:lineRule="auto"/>
        <w:jc w:val="both"/>
        <w:rPr>
          <w:rFonts w:asciiTheme="minorBidi" w:hAnsiTheme="minorBidi"/>
          <w:sz w:val="26"/>
          <w:szCs w:val="26"/>
        </w:rPr>
      </w:pPr>
      <w:r>
        <w:rPr>
          <w:rFonts w:asciiTheme="minorBidi" w:hAnsiTheme="minorBidi"/>
          <w:sz w:val="26"/>
        </w:rPr>
        <w:t xml:space="preserve">Are esanguratsuagoa da errentagarritasunak izandako hobekuntza. </w:t>
      </w:r>
    </w:p>
    <w:p w14:paraId="70D28288" w14:textId="24EE0E93" w:rsidR="00256B42" w:rsidRPr="004C74D1" w:rsidRDefault="00256B42" w:rsidP="00256B42">
      <w:pPr>
        <w:spacing w:line="360" w:lineRule="auto"/>
        <w:jc w:val="both"/>
        <w:rPr>
          <w:rFonts w:asciiTheme="minorBidi" w:hAnsiTheme="minorBidi"/>
          <w:sz w:val="26"/>
          <w:szCs w:val="26"/>
        </w:rPr>
      </w:pPr>
      <w:r>
        <w:rPr>
          <w:rFonts w:asciiTheme="minorBidi" w:hAnsiTheme="minorBidi"/>
          <w:sz w:val="26"/>
        </w:rPr>
        <w:t>Emaitza operatiboa, EBIT, % 14 hazi zen, eta marjina % 5,5era iritsi zen; aurreko ekitaldikoa, berriz, % 5,1ekoa izan zen. Hobekuntza horrek eskari-</w:t>
      </w:r>
      <w:r>
        <w:rPr>
          <w:rFonts w:asciiTheme="minorBidi" w:hAnsiTheme="minorBidi"/>
          <w:sz w:val="26"/>
        </w:rPr>
        <w:lastRenderedPageBreak/>
        <w:t xml:space="preserve">zorroaren kalitate handiagoaren, exekuzio </w:t>
      </w:r>
      <w:proofErr w:type="spellStart"/>
      <w:r>
        <w:rPr>
          <w:rFonts w:asciiTheme="minorBidi" w:hAnsiTheme="minorBidi"/>
          <w:sz w:val="26"/>
        </w:rPr>
        <w:t>diziplinatuagoaren</w:t>
      </w:r>
      <w:proofErr w:type="spellEnd"/>
      <w:r>
        <w:rPr>
          <w:rFonts w:asciiTheme="minorBidi" w:hAnsiTheme="minorBidi"/>
          <w:sz w:val="26"/>
        </w:rPr>
        <w:t xml:space="preserve"> eta ezarritako eraginkortasun-neurrien inpaktua islatzen du.</w:t>
      </w:r>
    </w:p>
    <w:p w14:paraId="56E685BA" w14:textId="53CA1F97" w:rsidR="00256B42" w:rsidRPr="004C74D1" w:rsidRDefault="00256B42" w:rsidP="00256B42">
      <w:pPr>
        <w:spacing w:line="360" w:lineRule="auto"/>
        <w:jc w:val="both"/>
        <w:rPr>
          <w:rFonts w:asciiTheme="minorBidi" w:hAnsiTheme="minorBidi"/>
          <w:sz w:val="26"/>
          <w:szCs w:val="26"/>
        </w:rPr>
      </w:pPr>
      <w:r>
        <w:rPr>
          <w:rFonts w:asciiTheme="minorBidi" w:hAnsiTheme="minorBidi"/>
          <w:sz w:val="26"/>
        </w:rPr>
        <w:t>Sozietate nagusiari egotz dakiokeen emaitza garbia 146 milioi eurokoa izan zen; hau da, 2024an baino % 42 handiagoa. Datu hori bereziki esanguratsua da. Izan ere, agerian uzten du hazkundea emaitza bihurtzeko, eta emaitzak akziodunentzat balioa sortzeko tresna bihurtzeko gaitasuna dugula.</w:t>
      </w:r>
    </w:p>
    <w:p w14:paraId="5CE48407" w14:textId="77777777" w:rsidR="008D3FD0" w:rsidRDefault="00256B42" w:rsidP="00256B42">
      <w:pPr>
        <w:spacing w:line="360" w:lineRule="auto"/>
        <w:jc w:val="both"/>
        <w:rPr>
          <w:rFonts w:asciiTheme="minorBidi" w:hAnsiTheme="minorBidi"/>
          <w:sz w:val="26"/>
          <w:szCs w:val="26"/>
        </w:rPr>
      </w:pPr>
      <w:r>
        <w:rPr>
          <w:rFonts w:asciiTheme="minorBidi" w:hAnsiTheme="minorBidi"/>
          <w:sz w:val="26"/>
        </w:rPr>
        <w:t xml:space="preserve">Finantza-ikuspegitik, Taldeak indartutako egoera du nabarmen, egitura sendo eta orekatuarekin. </w:t>
      </w:r>
    </w:p>
    <w:p w14:paraId="64A5272E" w14:textId="1C66CB81" w:rsidR="00256B42" w:rsidRPr="004C74D1" w:rsidRDefault="00256B42" w:rsidP="00256B42">
      <w:pPr>
        <w:spacing w:line="360" w:lineRule="auto"/>
        <w:jc w:val="both"/>
        <w:rPr>
          <w:rFonts w:asciiTheme="minorBidi" w:hAnsiTheme="minorBidi"/>
          <w:sz w:val="26"/>
          <w:szCs w:val="26"/>
        </w:rPr>
      </w:pPr>
      <w:r>
        <w:rPr>
          <w:rFonts w:asciiTheme="minorBidi" w:hAnsiTheme="minorBidi"/>
          <w:sz w:val="26"/>
        </w:rPr>
        <w:t xml:space="preserve">Finantza-zor garbiaren eta </w:t>
      </w:r>
      <w:proofErr w:type="spellStart"/>
      <w:r>
        <w:rPr>
          <w:rFonts w:asciiTheme="minorBidi" w:hAnsiTheme="minorBidi"/>
          <w:sz w:val="26"/>
        </w:rPr>
        <w:t>EBITDAren</w:t>
      </w:r>
      <w:proofErr w:type="spellEnd"/>
      <w:r>
        <w:rPr>
          <w:rFonts w:asciiTheme="minorBidi" w:hAnsiTheme="minorBidi"/>
          <w:sz w:val="26"/>
        </w:rPr>
        <w:t xml:space="preserve"> arteko ratioa jaitsi egin zen 2025eko ekitaldiaren amaieran; zehazki, 0,5 aldiz. Beste nolabait esanda, beraz, aurreko ekitaldikoa baino hobea izan zen eta finantza-malgutasun handia eman digun mailatan kokatu zen.</w:t>
      </w:r>
    </w:p>
    <w:p w14:paraId="2EDCFE28" w14:textId="331AC782" w:rsidR="00256B42" w:rsidRPr="004C74D1" w:rsidRDefault="00256B42" w:rsidP="00256B42">
      <w:pPr>
        <w:spacing w:line="360" w:lineRule="auto"/>
        <w:jc w:val="both"/>
        <w:rPr>
          <w:rFonts w:asciiTheme="minorBidi" w:hAnsiTheme="minorBidi"/>
          <w:sz w:val="26"/>
          <w:szCs w:val="26"/>
        </w:rPr>
      </w:pPr>
      <w:r>
        <w:rPr>
          <w:rFonts w:asciiTheme="minorBidi" w:hAnsiTheme="minorBidi"/>
          <w:sz w:val="26"/>
        </w:rPr>
        <w:t>Balantzearen sendotasun horren eta akziodunak saritzeko dugun konpromisoaren erakusgarri, Administrazio Kontseiluak dibidendua handitzea proposatu dio Batzar Orokor honi, akzio bakoitzeko 1,52 eurora arte. Beste nolabait esanda, % 14ko igoera proposatu dio. Proposamen hori bat dator gure dibidenduen politikarekin eta ekitaldian izandako bilakaera onarekin.</w:t>
      </w:r>
    </w:p>
    <w:p w14:paraId="548C778B" w14:textId="28DA18D6" w:rsidR="00EB1382" w:rsidRPr="004C74D1" w:rsidRDefault="00EB1382" w:rsidP="00EB1382">
      <w:pPr>
        <w:spacing w:line="360" w:lineRule="auto"/>
        <w:jc w:val="both"/>
        <w:rPr>
          <w:rFonts w:asciiTheme="minorBidi" w:hAnsiTheme="minorBidi"/>
          <w:sz w:val="26"/>
          <w:szCs w:val="26"/>
        </w:rPr>
      </w:pPr>
      <w:r>
        <w:rPr>
          <w:rFonts w:asciiTheme="minorBidi" w:hAnsiTheme="minorBidi"/>
          <w:sz w:val="26"/>
        </w:rPr>
        <w:t>Era berean, konpainiaren jardun onak burtsako bilakaeran ere oso isla argia izan duela gogorarazi nahi dizuet. 2025ean, CAFen akzioak % 69ko balio-handitzea izan zuen, merkatuaren gainetik nabarmen. Horrek erakusten du inbertitzaileek konfiantza dutela gure emaitzen sendotasunean, gure estrategiaren argitasunean eta epe luzera begira balio iraunkorra sortzen jarraitzeko dugun gaitasunean.</w:t>
      </w:r>
    </w:p>
    <w:p w14:paraId="308BC584" w14:textId="45C59F81" w:rsidR="00256B42" w:rsidRPr="004C74D1" w:rsidRDefault="0009261E" w:rsidP="0009261E">
      <w:pPr>
        <w:pStyle w:val="Ttulo"/>
        <w:spacing w:line="360" w:lineRule="auto"/>
        <w:jc w:val="both"/>
        <w:rPr>
          <w:rFonts w:asciiTheme="minorBidi" w:hAnsiTheme="minorBidi" w:cstheme="minorBidi"/>
          <w:i/>
          <w:iCs/>
          <w:color w:val="7F7F7F"/>
          <w:sz w:val="26"/>
          <w:szCs w:val="26"/>
        </w:rPr>
      </w:pPr>
      <w:r>
        <w:rPr>
          <w:rFonts w:asciiTheme="minorBidi" w:hAnsiTheme="minorBidi"/>
          <w:i/>
          <w:color w:val="7F7F7F"/>
          <w:sz w:val="26"/>
        </w:rPr>
        <w:t xml:space="preserve"> [Jarduera komertziala eta zorroa: ikusgarritasuna eta egonkortasuna]</w:t>
      </w:r>
    </w:p>
    <w:p w14:paraId="7D251B1D" w14:textId="72C27915" w:rsidR="00256B42" w:rsidRPr="004C74D1" w:rsidRDefault="00256B42" w:rsidP="00256B42">
      <w:pPr>
        <w:spacing w:line="360" w:lineRule="auto"/>
        <w:jc w:val="both"/>
        <w:rPr>
          <w:rFonts w:asciiTheme="minorBidi" w:hAnsiTheme="minorBidi"/>
          <w:sz w:val="26"/>
          <w:szCs w:val="26"/>
        </w:rPr>
      </w:pPr>
      <w:r>
        <w:rPr>
          <w:rFonts w:asciiTheme="minorBidi" w:hAnsiTheme="minorBidi"/>
          <w:sz w:val="26"/>
        </w:rPr>
        <w:t>2025a aparteko urtea izan zen ikuspegi komertzialari dagokionez.</w:t>
      </w:r>
    </w:p>
    <w:p w14:paraId="138E104A" w14:textId="2E183649" w:rsidR="00256B42" w:rsidRPr="004C74D1" w:rsidRDefault="00256B42" w:rsidP="00256B42">
      <w:pPr>
        <w:spacing w:line="360" w:lineRule="auto"/>
        <w:jc w:val="both"/>
        <w:rPr>
          <w:rFonts w:asciiTheme="minorBidi" w:hAnsiTheme="minorBidi"/>
          <w:sz w:val="26"/>
          <w:szCs w:val="26"/>
        </w:rPr>
      </w:pPr>
      <w:r>
        <w:rPr>
          <w:rFonts w:asciiTheme="minorBidi" w:hAnsiTheme="minorBidi"/>
          <w:sz w:val="26"/>
        </w:rPr>
        <w:lastRenderedPageBreak/>
        <w:t>Ekitaldiko kontratazioa 6.000 milioi euro baino gehiagokoa izan zen, aurreko urtean baino % 28 gehiagokoa. Horrek bi gauza berresten ditu; alde batetik, gure merkatuen dinamismoa, eta bestetik, bezeroek gure gaitasun teknologiko eta industrialetan duten konfiantza.</w:t>
      </w:r>
    </w:p>
    <w:p w14:paraId="4C1397F6" w14:textId="31EE0978" w:rsidR="00256B42" w:rsidRPr="004C74D1" w:rsidRDefault="00256B42" w:rsidP="00256B42">
      <w:pPr>
        <w:spacing w:line="360" w:lineRule="auto"/>
        <w:jc w:val="both"/>
        <w:rPr>
          <w:rFonts w:asciiTheme="minorBidi" w:hAnsiTheme="minorBidi"/>
          <w:sz w:val="26"/>
          <w:szCs w:val="26"/>
        </w:rPr>
      </w:pPr>
      <w:r>
        <w:rPr>
          <w:rFonts w:asciiTheme="minorBidi" w:hAnsiTheme="minorBidi"/>
          <w:sz w:val="26"/>
        </w:rPr>
        <w:t>Horren ondorioz, eskari-zorroak beste errekor historiko bat ezarri zuen 2025eko abenduan: 16.235 milioi euro. Gainera, zenbateko hori berriro handitu da, eta urte honetako lehen hiruhilekoaren amaieran ia 18.000 milioi eurora iritsi da. Horrek urteko salmenten lau halako suposatzen du, eta datozen ekitaldietarako diru-sarreren ikusgarritasun handia eta errentagarritasuna hobetzen jarraitzeko oinarri sendoa ematen ditu.</w:t>
      </w:r>
    </w:p>
    <w:p w14:paraId="26B9913C" w14:textId="56E2ACF1" w:rsidR="00256B42" w:rsidRPr="004C74D1" w:rsidRDefault="00FB0794" w:rsidP="00256B42">
      <w:pPr>
        <w:spacing w:line="360" w:lineRule="auto"/>
        <w:jc w:val="both"/>
        <w:rPr>
          <w:rFonts w:asciiTheme="minorBidi" w:hAnsiTheme="minorBidi"/>
          <w:sz w:val="26"/>
          <w:szCs w:val="26"/>
        </w:rPr>
      </w:pPr>
      <w:r>
        <w:rPr>
          <w:rFonts w:asciiTheme="minorBidi" w:hAnsiTheme="minorBidi"/>
          <w:sz w:val="26"/>
        </w:rPr>
        <w:t>Gainera, zorroak oreka mantentzen du geografien eta jarduera-segmentuen osaerari dagokionez, eta horrek arriskuak murriztu eta aurkako ziklo posibleen aurrean Taldearen erresilientzia indartzen du.</w:t>
      </w:r>
    </w:p>
    <w:p w14:paraId="78E1264A" w14:textId="290A042B" w:rsidR="0009261E" w:rsidRPr="004C74D1" w:rsidRDefault="0009261E" w:rsidP="0009261E">
      <w:pPr>
        <w:pStyle w:val="Ttulo"/>
        <w:spacing w:line="360" w:lineRule="auto"/>
        <w:jc w:val="both"/>
        <w:rPr>
          <w:rFonts w:asciiTheme="minorBidi" w:hAnsiTheme="minorBidi" w:cstheme="minorBidi"/>
          <w:i/>
          <w:iCs/>
          <w:color w:val="7F7F7F"/>
          <w:sz w:val="26"/>
          <w:szCs w:val="26"/>
        </w:rPr>
      </w:pPr>
      <w:r>
        <w:rPr>
          <w:rFonts w:asciiTheme="minorBidi" w:hAnsiTheme="minorBidi"/>
          <w:i/>
          <w:color w:val="7F7F7F"/>
          <w:sz w:val="26"/>
        </w:rPr>
        <w:t>[Mugarri estrategikoak: inflexio-puntua ekarri duten kontratuak]</w:t>
      </w:r>
    </w:p>
    <w:p w14:paraId="10DCD627" w14:textId="23AA6069" w:rsidR="0009261E" w:rsidRPr="004C74D1" w:rsidRDefault="004750F4" w:rsidP="0009261E">
      <w:pPr>
        <w:spacing w:line="360" w:lineRule="auto"/>
        <w:jc w:val="both"/>
        <w:rPr>
          <w:rFonts w:asciiTheme="minorBidi" w:hAnsiTheme="minorBidi"/>
          <w:sz w:val="26"/>
          <w:szCs w:val="26"/>
        </w:rPr>
      </w:pPr>
      <w:r>
        <w:rPr>
          <w:rFonts w:asciiTheme="minorBidi" w:hAnsiTheme="minorBidi"/>
          <w:sz w:val="26"/>
        </w:rPr>
        <w:t>2025eko ekitaldian, gainera, esleipen eta proiektu garrantzitsuak izan ziren. Horiek guztiek izandako inpaktu ekonomikoaz harago joanda; ikuspegi estrategikotik ere oso garrantzitsuak dira. Inflexio-puntua ekarri duten kontratuak dira. Benetako mugarriak.</w:t>
      </w:r>
    </w:p>
    <w:p w14:paraId="6A9D0F2B" w14:textId="428053AF" w:rsidR="00256B42" w:rsidRPr="004C74D1" w:rsidRDefault="00256B42" w:rsidP="00256B42">
      <w:pPr>
        <w:spacing w:line="360" w:lineRule="auto"/>
        <w:jc w:val="both"/>
        <w:rPr>
          <w:rFonts w:asciiTheme="minorBidi" w:hAnsiTheme="minorBidi"/>
          <w:sz w:val="26"/>
          <w:szCs w:val="26"/>
        </w:rPr>
      </w:pPr>
      <w:r>
        <w:rPr>
          <w:rFonts w:asciiTheme="minorBidi" w:hAnsiTheme="minorBidi"/>
          <w:sz w:val="26"/>
        </w:rPr>
        <w:t>Lehenik eta behin, Taldearen historiako kontraturik handiena esleitu izana nabarmendu nahiko nuke: Belgikako SNCB tren-operadorearekin sinatutakoa. Oinarrizko irismenean 180 tren hornitzeko esparru-akordioa da, hasierako 1.700 milioi euroko zenbatekoarekin. Gainera, aukera osagarrien bidez, unitate kopurua 380ra arte handitzeko aukera jasotzen du kontratuak. Kontratu horrek Europako merkaturik zorrotzenetako batean dugun posizioa indartzen du, eta operadore handiek gure balio-proposamenean duten konfiantzaren erakusgarri argia da.</w:t>
      </w:r>
    </w:p>
    <w:p w14:paraId="265BD64A" w14:textId="6AD010E8" w:rsidR="00256B42" w:rsidRPr="004C74D1" w:rsidRDefault="00256B42" w:rsidP="00256B42">
      <w:pPr>
        <w:spacing w:line="360" w:lineRule="auto"/>
        <w:jc w:val="both"/>
        <w:rPr>
          <w:rFonts w:asciiTheme="minorBidi" w:hAnsiTheme="minorBidi"/>
          <w:sz w:val="26"/>
          <w:szCs w:val="26"/>
        </w:rPr>
      </w:pPr>
      <w:r>
        <w:rPr>
          <w:rFonts w:asciiTheme="minorBidi" w:hAnsiTheme="minorBidi"/>
          <w:sz w:val="26"/>
        </w:rPr>
        <w:t xml:space="preserve">Horrez gain, aurrerapen nabarmenak egin ditugu </w:t>
      </w:r>
      <w:proofErr w:type="spellStart"/>
      <w:r>
        <w:rPr>
          <w:rFonts w:asciiTheme="minorBidi" w:hAnsiTheme="minorBidi"/>
          <w:sz w:val="26"/>
        </w:rPr>
        <w:t>trengintza</w:t>
      </w:r>
      <w:proofErr w:type="spellEnd"/>
      <w:r>
        <w:rPr>
          <w:rFonts w:asciiTheme="minorBidi" w:hAnsiTheme="minorBidi"/>
          <w:sz w:val="26"/>
        </w:rPr>
        <w:t xml:space="preserve"> arloko automatizazioaren eta seinaleztapenaren arloan. Horrekin lotutako erreferentziazko proiektuak dira honako hauek: Helsinkiko metroaren </w:t>
      </w:r>
      <w:r>
        <w:rPr>
          <w:rFonts w:asciiTheme="minorBidi" w:hAnsiTheme="minorBidi"/>
          <w:sz w:val="26"/>
        </w:rPr>
        <w:lastRenderedPageBreak/>
        <w:t xml:space="preserve">modernizazioa, gure CBTC GoA2 teknologia ezarriz, eta Napoliko metro berria. Azken horretan, gainera, GoA4 mailako gidatze automatikoa barne hartzen duen sistema integralaren diseinuan eta ezarpenean parte hartu dugu. </w:t>
      </w:r>
    </w:p>
    <w:p w14:paraId="2C389D6A" w14:textId="01C0F4D9" w:rsidR="00256B42" w:rsidRPr="004C74D1" w:rsidRDefault="00256B42" w:rsidP="00256B42">
      <w:pPr>
        <w:spacing w:line="360" w:lineRule="auto"/>
        <w:jc w:val="both"/>
        <w:rPr>
          <w:rFonts w:asciiTheme="minorBidi" w:hAnsiTheme="minorBidi"/>
          <w:sz w:val="26"/>
          <w:szCs w:val="26"/>
        </w:rPr>
      </w:pPr>
      <w:r>
        <w:rPr>
          <w:rFonts w:asciiTheme="minorBidi" w:hAnsiTheme="minorBidi"/>
          <w:sz w:val="26"/>
        </w:rPr>
        <w:t>Ipar Amerikan ere gure presentzia sendotzen jarraitu dugu, Estatu Batuetan eta Kanadan lortutako kontratu garrantzitsuei esker, bereziki zero emisioko autobusen arloan. Horrek hiriko mugikortasun jasangarriko soluzioen hornitzaile nagusi gisa dugun posizioa indartzen du.</w:t>
      </w:r>
    </w:p>
    <w:p w14:paraId="12FBBEC2" w14:textId="1A334060" w:rsidR="00256B42" w:rsidRPr="004C74D1" w:rsidRDefault="00256B42" w:rsidP="00256B42">
      <w:pPr>
        <w:spacing w:line="360" w:lineRule="auto"/>
        <w:jc w:val="both"/>
        <w:rPr>
          <w:rFonts w:asciiTheme="minorBidi" w:hAnsiTheme="minorBidi"/>
          <w:sz w:val="26"/>
          <w:szCs w:val="26"/>
        </w:rPr>
      </w:pPr>
      <w:r>
        <w:rPr>
          <w:rFonts w:asciiTheme="minorBidi" w:hAnsiTheme="minorBidi"/>
          <w:sz w:val="26"/>
        </w:rPr>
        <w:t xml:space="preserve">Eta mugarri horiek guztiak ez dira </w:t>
      </w:r>
      <w:proofErr w:type="spellStart"/>
      <w:r>
        <w:rPr>
          <w:rFonts w:asciiTheme="minorBidi" w:hAnsiTheme="minorBidi"/>
          <w:sz w:val="26"/>
        </w:rPr>
        <w:t>kasualak</w:t>
      </w:r>
      <w:proofErr w:type="spellEnd"/>
      <w:r>
        <w:rPr>
          <w:rFonts w:asciiTheme="minorBidi" w:hAnsiTheme="minorBidi"/>
          <w:sz w:val="26"/>
        </w:rPr>
        <w:t>. Ezinezkoak izango ziratekeen, aurretik gure gaitasunak indartzeko egindako lanik gabe, eta estrategia argiari erantzuten diote: Taldea mugikortasuneko soluzio integralen hornitzaile gisa kokatzea, bizi-ziklo osoan zehar produktu, teknologia eta zerbitzuak eskaintzeko gai den enpresa gisa.</w:t>
      </w:r>
    </w:p>
    <w:p w14:paraId="1A32CF72" w14:textId="77777777" w:rsidR="002A4210" w:rsidRPr="004C74D1" w:rsidRDefault="002A4210" w:rsidP="002A4210">
      <w:pPr>
        <w:pStyle w:val="Ttulo"/>
        <w:spacing w:line="360" w:lineRule="auto"/>
        <w:jc w:val="both"/>
        <w:rPr>
          <w:rFonts w:asciiTheme="minorBidi" w:hAnsiTheme="minorBidi" w:cstheme="minorBidi"/>
          <w:sz w:val="26"/>
          <w:szCs w:val="26"/>
        </w:rPr>
      </w:pPr>
      <w:r>
        <w:rPr>
          <w:rFonts w:asciiTheme="minorBidi" w:hAnsiTheme="minorBidi"/>
          <w:i/>
          <w:color w:val="7F7F7F"/>
          <w:sz w:val="26"/>
        </w:rPr>
        <w:t>[Pertsonak eta antolakuntza: arrakastaren oinarria]</w:t>
      </w:r>
    </w:p>
    <w:p w14:paraId="2A4D0D46" w14:textId="4E375ADB" w:rsidR="002A4210" w:rsidRPr="004C74D1" w:rsidRDefault="002A4210" w:rsidP="002A4210">
      <w:pPr>
        <w:spacing w:line="360" w:lineRule="auto"/>
        <w:jc w:val="both"/>
        <w:rPr>
          <w:rFonts w:asciiTheme="minorBidi" w:hAnsiTheme="minorBidi"/>
          <w:sz w:val="26"/>
          <w:szCs w:val="26"/>
        </w:rPr>
      </w:pPr>
      <w:r>
        <w:rPr>
          <w:rFonts w:asciiTheme="minorBidi" w:hAnsiTheme="minorBidi"/>
          <w:sz w:val="26"/>
        </w:rPr>
        <w:t>Gaur aurkezten ditugun emaitza hauek ez lirateke posible izango mundu osoan zehar Taldea osatzen duten 18.000 pertsona baino gehiagoren konpromisorik eta ekarpenik gabe.</w:t>
      </w:r>
    </w:p>
    <w:p w14:paraId="1CFAE2B7" w14:textId="38168F26" w:rsidR="00C138B2" w:rsidRPr="004C74D1" w:rsidRDefault="00C138B2" w:rsidP="002A4210">
      <w:pPr>
        <w:spacing w:line="360" w:lineRule="auto"/>
        <w:jc w:val="both"/>
        <w:rPr>
          <w:rFonts w:asciiTheme="minorBidi" w:hAnsiTheme="minorBidi"/>
          <w:sz w:val="26"/>
          <w:szCs w:val="26"/>
        </w:rPr>
      </w:pPr>
      <w:r>
        <w:rPr>
          <w:rFonts w:asciiTheme="minorBidi" w:hAnsiTheme="minorBidi"/>
          <w:sz w:val="26"/>
        </w:rPr>
        <w:t>Hain zuzen ere, haien eguneroko lana da gure industria-proiektuaren oinarri den aktibo nagusia. Gure taldeen gaitasun teknikoa eta konpromisoa elementu bereizgarriak dira. Bezeroen konfiantza indartzen dute eta Taldearen lehia mailako posizionamendua merkaturik zorrotzenetan sostengatzen dute.</w:t>
      </w:r>
    </w:p>
    <w:p w14:paraId="69030D7F" w14:textId="7F027FF8" w:rsidR="002A4210" w:rsidRPr="004C74D1" w:rsidRDefault="00FB0794" w:rsidP="002A4210">
      <w:pPr>
        <w:spacing w:line="360" w:lineRule="auto"/>
        <w:jc w:val="both"/>
        <w:rPr>
          <w:rFonts w:asciiTheme="minorBidi" w:hAnsiTheme="minorBidi"/>
          <w:sz w:val="26"/>
          <w:szCs w:val="26"/>
        </w:rPr>
      </w:pPr>
      <w:r>
        <w:rPr>
          <w:rFonts w:asciiTheme="minorBidi" w:hAnsiTheme="minorBidi"/>
          <w:sz w:val="26"/>
        </w:rPr>
        <w:t>2025ean talentuan, prestakuntzan eta laneko segurtasun eta osasunean inbertitzen jarraitu dugu, bikaintasunean, berrikuntzan, aniztasunean eta taldeko lanean oinarritutako enpresa-kultura sustatuz.</w:t>
      </w:r>
    </w:p>
    <w:p w14:paraId="35299D86" w14:textId="7EFCE792" w:rsidR="002A4210" w:rsidRDefault="002A4210" w:rsidP="002A4210">
      <w:pPr>
        <w:spacing w:line="360" w:lineRule="auto"/>
        <w:jc w:val="both"/>
        <w:rPr>
          <w:rFonts w:asciiTheme="minorBidi" w:hAnsiTheme="minorBidi"/>
          <w:sz w:val="26"/>
          <w:szCs w:val="26"/>
        </w:rPr>
      </w:pPr>
      <w:r>
        <w:rPr>
          <w:rFonts w:asciiTheme="minorBidi" w:hAnsiTheme="minorBidi"/>
          <w:sz w:val="26"/>
        </w:rPr>
        <w:t>Bide batez, Batzar hau baliatu nahi dut erakunde osoari egindako ahalegina eskertzeko, eta gure bezeroek eta industria-bazkideek gugan jarritako konfiantza eskertzeko.</w:t>
      </w:r>
    </w:p>
    <w:p w14:paraId="4FE6FB30" w14:textId="0F6F06D2" w:rsidR="00256B42" w:rsidRPr="004C74D1" w:rsidRDefault="0009261E" w:rsidP="0009261E">
      <w:pPr>
        <w:pStyle w:val="Ttulo"/>
        <w:spacing w:line="360" w:lineRule="auto"/>
        <w:jc w:val="both"/>
        <w:rPr>
          <w:rFonts w:asciiTheme="minorBidi" w:hAnsiTheme="minorBidi" w:cstheme="minorBidi"/>
          <w:i/>
          <w:iCs/>
          <w:color w:val="7F7F7F"/>
          <w:sz w:val="26"/>
          <w:szCs w:val="26"/>
        </w:rPr>
      </w:pPr>
      <w:r>
        <w:rPr>
          <w:rFonts w:asciiTheme="minorBidi" w:hAnsiTheme="minorBidi"/>
          <w:i/>
          <w:color w:val="7F7F7F"/>
          <w:sz w:val="26"/>
        </w:rPr>
        <w:lastRenderedPageBreak/>
        <w:t>[Jasangarritasuna eta ESG: hazkunde arduratsua eta epe luzera begirako konpromisoa]</w:t>
      </w:r>
    </w:p>
    <w:p w14:paraId="08B71186" w14:textId="52AC57FA" w:rsidR="002A07F6" w:rsidRPr="004C74D1" w:rsidRDefault="00FB0794" w:rsidP="002A07F6">
      <w:pPr>
        <w:spacing w:line="360" w:lineRule="auto"/>
        <w:jc w:val="both"/>
        <w:rPr>
          <w:rFonts w:asciiTheme="minorBidi" w:hAnsiTheme="minorBidi"/>
          <w:sz w:val="26"/>
          <w:szCs w:val="26"/>
        </w:rPr>
      </w:pPr>
      <w:r>
        <w:rPr>
          <w:rFonts w:asciiTheme="minorBidi" w:hAnsiTheme="minorBidi"/>
          <w:sz w:val="26"/>
        </w:rPr>
        <w:t>Uste osoa dugu epe luzerako balioa hazkunde arduratsuan oinarritzen bada bakarrik lor daitekeela eta, horretarako, gure erabakien eragin soziala, ingurumenekoa eta ekonomikoa kontu behar direla kontuan.</w:t>
      </w:r>
    </w:p>
    <w:p w14:paraId="6B3F3F4B" w14:textId="77777777" w:rsidR="00256B42" w:rsidRPr="004C74D1" w:rsidRDefault="00256B42" w:rsidP="00256B42">
      <w:pPr>
        <w:spacing w:line="360" w:lineRule="auto"/>
        <w:jc w:val="both"/>
        <w:rPr>
          <w:rFonts w:asciiTheme="minorBidi" w:hAnsiTheme="minorBidi"/>
          <w:sz w:val="26"/>
          <w:szCs w:val="26"/>
        </w:rPr>
      </w:pPr>
      <w:r>
        <w:rPr>
          <w:rFonts w:asciiTheme="minorBidi" w:hAnsiTheme="minorBidi"/>
          <w:sz w:val="26"/>
        </w:rPr>
        <w:t>Jasangarritasuna ez da guretzat osagarri hutsa; Taldearen estrategiaren egiturazko zutabeetako bat da.</w:t>
      </w:r>
    </w:p>
    <w:p w14:paraId="746C1ECC" w14:textId="77777777" w:rsidR="00256B42" w:rsidRPr="004C74D1" w:rsidRDefault="00256B42" w:rsidP="00256B42">
      <w:pPr>
        <w:spacing w:line="360" w:lineRule="auto"/>
        <w:jc w:val="both"/>
        <w:rPr>
          <w:rFonts w:asciiTheme="minorBidi" w:hAnsiTheme="minorBidi"/>
          <w:sz w:val="26"/>
          <w:szCs w:val="26"/>
        </w:rPr>
      </w:pPr>
      <w:r>
        <w:rPr>
          <w:rFonts w:asciiTheme="minorBidi" w:hAnsiTheme="minorBidi"/>
          <w:sz w:val="26"/>
        </w:rPr>
        <w:t>2025ean, gure ingurumen-aztarna murrizteko bidean aurrerapauso irmoak ematen jarraitu dugu. Jarduera hazi egin den arren, 1. eta 2. irismeneko emisio absolutuak % 30 murriztea lortu dugu, eta 3. irismenekoak % 43, 2019ko erreferentzia-urtearekin alderatuta.</w:t>
      </w:r>
    </w:p>
    <w:p w14:paraId="72E6705E" w14:textId="77777777" w:rsidR="00256B42" w:rsidRPr="004C74D1" w:rsidRDefault="00256B42" w:rsidP="00256B42">
      <w:pPr>
        <w:spacing w:line="360" w:lineRule="auto"/>
        <w:jc w:val="both"/>
        <w:rPr>
          <w:rFonts w:asciiTheme="minorBidi" w:hAnsiTheme="minorBidi"/>
          <w:sz w:val="26"/>
          <w:szCs w:val="26"/>
        </w:rPr>
      </w:pPr>
      <w:r>
        <w:rPr>
          <w:rFonts w:asciiTheme="minorBidi" w:hAnsiTheme="minorBidi"/>
          <w:sz w:val="26"/>
        </w:rPr>
        <w:t>Aurrerapen horiek 2045erako neutraltasun klimatikoa lortzeko gure gain hartutako konpromisora hurbildu gaituzte, eta datuetan eta ekintza zehatzetan oinarritutako ikuspegi zorrotza islatzen dute.</w:t>
      </w:r>
    </w:p>
    <w:p w14:paraId="0D71B485" w14:textId="012508E1" w:rsidR="00256B42" w:rsidRPr="004C74D1" w:rsidRDefault="00256B42" w:rsidP="00256B42">
      <w:pPr>
        <w:spacing w:line="360" w:lineRule="auto"/>
        <w:jc w:val="both"/>
        <w:rPr>
          <w:rFonts w:asciiTheme="minorBidi" w:hAnsiTheme="minorBidi"/>
          <w:sz w:val="26"/>
          <w:szCs w:val="26"/>
        </w:rPr>
      </w:pPr>
      <w:r>
        <w:rPr>
          <w:rFonts w:asciiTheme="minorBidi" w:hAnsiTheme="minorBidi"/>
          <w:sz w:val="26"/>
        </w:rPr>
        <w:t>Horrez gain, presidenteak azaldu duen bezala, gobernantza eta araudia betetzeko politikak sendotzen jarraitu dugu, baita merkatuaren eskura jartzen dugun finantza arlokoa ez den informazioaren gardentasuna eta kalitatea ere.</w:t>
      </w:r>
    </w:p>
    <w:p w14:paraId="4507334C" w14:textId="77777777" w:rsidR="002A4210" w:rsidRPr="004C74D1" w:rsidRDefault="002A4210" w:rsidP="002A4210">
      <w:pPr>
        <w:pStyle w:val="Ttulo"/>
        <w:spacing w:line="360" w:lineRule="auto"/>
        <w:jc w:val="both"/>
        <w:rPr>
          <w:rFonts w:asciiTheme="minorBidi" w:hAnsiTheme="minorBidi" w:cstheme="minorBidi"/>
          <w:i/>
          <w:iCs/>
          <w:color w:val="7F7F7F"/>
          <w:sz w:val="26"/>
          <w:szCs w:val="26"/>
        </w:rPr>
      </w:pPr>
      <w:r>
        <w:rPr>
          <w:rFonts w:asciiTheme="minorBidi" w:hAnsiTheme="minorBidi"/>
          <w:i/>
          <w:color w:val="7F7F7F"/>
          <w:sz w:val="26"/>
        </w:rPr>
        <w:t>[2026ko Plan Estrategikoa gauzatzea: helburuak ezarritakoa baino lehen lortu dira]</w:t>
      </w:r>
    </w:p>
    <w:p w14:paraId="4047BF21" w14:textId="41BEF6A1" w:rsidR="002A4210" w:rsidRPr="004C74D1" w:rsidRDefault="002A4210" w:rsidP="002A4210">
      <w:pPr>
        <w:spacing w:line="360" w:lineRule="auto"/>
        <w:jc w:val="both"/>
        <w:rPr>
          <w:rFonts w:asciiTheme="minorBidi" w:hAnsiTheme="minorBidi"/>
          <w:sz w:val="26"/>
          <w:szCs w:val="26"/>
        </w:rPr>
      </w:pPr>
      <w:r>
        <w:rPr>
          <w:rFonts w:asciiTheme="minorBidi" w:hAnsiTheme="minorBidi"/>
          <w:sz w:val="26"/>
        </w:rPr>
        <w:t>Gaur helarazi nahi dizuedan mezu garrantzitsuenetako bat da Taldea 2026ko Plan Estrategikoaren helburu nagusiak betetzen ari dela.</w:t>
      </w:r>
    </w:p>
    <w:p w14:paraId="45374C68" w14:textId="68B7B862" w:rsidR="00681389" w:rsidRPr="004C74D1" w:rsidRDefault="002A4210" w:rsidP="002A4210">
      <w:pPr>
        <w:spacing w:line="360" w:lineRule="auto"/>
        <w:jc w:val="both"/>
        <w:rPr>
          <w:rFonts w:asciiTheme="minorBidi" w:hAnsiTheme="minorBidi"/>
          <w:sz w:val="26"/>
          <w:szCs w:val="26"/>
        </w:rPr>
      </w:pPr>
      <w:r>
        <w:rPr>
          <w:rFonts w:asciiTheme="minorBidi" w:hAnsiTheme="minorBidi"/>
          <w:sz w:val="26"/>
        </w:rPr>
        <w:t xml:space="preserve">Ziklo estrategiko honetan lan handia egin dugu prozesuak hobetzeko, gaitasun industrialak indartzeko, teknologian eta talentuan inbertitzeko, eta antolakuntza sinplifikatzeko, arinagoa eta eraginkorragoa izan dadin. </w:t>
      </w:r>
    </w:p>
    <w:p w14:paraId="024D0BF2" w14:textId="0C99FDD1" w:rsidR="002A4210" w:rsidRPr="004C74D1" w:rsidRDefault="002A4210" w:rsidP="002A4210">
      <w:pPr>
        <w:spacing w:line="360" w:lineRule="auto"/>
        <w:jc w:val="both"/>
        <w:rPr>
          <w:rFonts w:asciiTheme="minorBidi" w:hAnsiTheme="minorBidi"/>
          <w:sz w:val="26"/>
          <w:szCs w:val="26"/>
        </w:rPr>
      </w:pPr>
      <w:r>
        <w:rPr>
          <w:rFonts w:asciiTheme="minorBidi" w:hAnsiTheme="minorBidi"/>
          <w:sz w:val="26"/>
        </w:rPr>
        <w:t>Hain zuzen ere, 2025eko emaitzak ahalegin kolektibo horren ondorio zuzena dira.</w:t>
      </w:r>
    </w:p>
    <w:p w14:paraId="67A1595A" w14:textId="501739BD" w:rsidR="00681389" w:rsidRPr="004C74D1" w:rsidRDefault="008D33BB" w:rsidP="002A4210">
      <w:pPr>
        <w:spacing w:line="360" w:lineRule="auto"/>
        <w:jc w:val="both"/>
        <w:rPr>
          <w:rFonts w:asciiTheme="minorBidi" w:hAnsiTheme="minorBidi"/>
          <w:sz w:val="26"/>
          <w:szCs w:val="26"/>
        </w:rPr>
      </w:pPr>
      <w:r>
        <w:rPr>
          <w:rFonts w:asciiTheme="minorBidi" w:hAnsiTheme="minorBidi"/>
          <w:sz w:val="26"/>
        </w:rPr>
        <w:lastRenderedPageBreak/>
        <w:t xml:space="preserve">CAFen </w:t>
      </w:r>
      <w:proofErr w:type="spellStart"/>
      <w:r>
        <w:rPr>
          <w:rFonts w:asciiTheme="minorBidi" w:hAnsiTheme="minorBidi"/>
          <w:sz w:val="26"/>
        </w:rPr>
        <w:t>trengintza</w:t>
      </w:r>
      <w:proofErr w:type="spellEnd"/>
      <w:r>
        <w:rPr>
          <w:rFonts w:asciiTheme="minorBidi" w:hAnsiTheme="minorBidi"/>
          <w:sz w:val="26"/>
        </w:rPr>
        <w:t xml:space="preserve"> arloko segmentuak posizionamendu lehiakor sendoa erakusten du, lidergo teknologikoan, gaitasun industrialean eta diziplina komertzialean oinarrituta, tren bidezko garraioaren deskarbonizazioarekin eta digitalizazioarekin lerrokatutako soluzioen aldeko apustu argiarekin. </w:t>
      </w:r>
    </w:p>
    <w:p w14:paraId="08E3B086" w14:textId="14AAF43C" w:rsidR="00C53517" w:rsidRPr="004C74D1" w:rsidRDefault="00C53517" w:rsidP="00C53517">
      <w:pPr>
        <w:spacing w:line="360" w:lineRule="auto"/>
        <w:jc w:val="both"/>
        <w:rPr>
          <w:rFonts w:asciiTheme="minorBidi" w:hAnsiTheme="minorBidi"/>
          <w:sz w:val="26"/>
          <w:szCs w:val="26"/>
        </w:rPr>
      </w:pPr>
      <w:r>
        <w:rPr>
          <w:rFonts w:asciiTheme="minorBidi" w:hAnsiTheme="minorBidi"/>
          <w:sz w:val="26"/>
        </w:rPr>
        <w:t xml:space="preserve">Oinarri horren gainean eraiki dugu SPARK 2030, tren-ibilgailuen gure negozioan martxan jarri dugun eraldaketa sakoneko programa. Haren helburua da hurrengo hamarkadan zehar lehiakortasuna, errentagarritasuna eta exekuzio-gaitasuna modu estrukturalean indartzea. </w:t>
      </w:r>
    </w:p>
    <w:p w14:paraId="21F7BE87" w14:textId="70853139" w:rsidR="00C53517" w:rsidRPr="004C74D1" w:rsidRDefault="006A5B03" w:rsidP="00C65516">
      <w:pPr>
        <w:spacing w:line="360" w:lineRule="auto"/>
        <w:jc w:val="both"/>
        <w:rPr>
          <w:rFonts w:asciiTheme="minorBidi" w:hAnsiTheme="minorBidi"/>
          <w:sz w:val="26"/>
          <w:szCs w:val="26"/>
        </w:rPr>
      </w:pPr>
      <w:r>
        <w:rPr>
          <w:rFonts w:asciiTheme="minorBidi" w:hAnsiTheme="minorBidi"/>
          <w:sz w:val="26"/>
        </w:rPr>
        <w:t>Horrez gain, zerbitzuen negozioaren garapena Taldearentzat lehen mailako beste palanka estrategiko bat da. Aukera ematen digu operadoreei aktiboen bizi-ziklo osoan laguntzeko, diru-sarrerei errepikakortasuna eta egonkortasuna emateko, eta gure bezeroen flotak eta behar operatiboak sakon ezagutzeak eskaintzen digun gertuko harremana sendotzeko. Aldi berean, modu estrukturalean, balio-</w:t>
      </w:r>
      <w:proofErr w:type="spellStart"/>
      <w:r>
        <w:rPr>
          <w:rFonts w:asciiTheme="minorBidi" w:hAnsiTheme="minorBidi"/>
          <w:sz w:val="26"/>
        </w:rPr>
        <w:t>mixa</w:t>
      </w:r>
      <w:proofErr w:type="spellEnd"/>
      <w:r>
        <w:rPr>
          <w:rFonts w:asciiTheme="minorBidi" w:hAnsiTheme="minorBidi"/>
          <w:sz w:val="26"/>
        </w:rPr>
        <w:t xml:space="preserve"> hobetzen eta gero eta zorrotzagoa den ingurunean </w:t>
      </w:r>
      <w:proofErr w:type="spellStart"/>
      <w:r>
        <w:rPr>
          <w:rFonts w:asciiTheme="minorBidi" w:hAnsiTheme="minorBidi"/>
          <w:sz w:val="26"/>
        </w:rPr>
        <w:t>hegakortasuna</w:t>
      </w:r>
      <w:proofErr w:type="spellEnd"/>
      <w:r>
        <w:rPr>
          <w:rFonts w:asciiTheme="minorBidi" w:hAnsiTheme="minorBidi"/>
          <w:sz w:val="26"/>
        </w:rPr>
        <w:t xml:space="preserve"> gutxitzen laguntzen du.</w:t>
      </w:r>
    </w:p>
    <w:p w14:paraId="3C293B82" w14:textId="77777777" w:rsidR="00466245" w:rsidRDefault="00466245" w:rsidP="00171A03">
      <w:pPr>
        <w:spacing w:line="360" w:lineRule="auto"/>
        <w:jc w:val="both"/>
        <w:rPr>
          <w:rFonts w:asciiTheme="minorBidi" w:hAnsiTheme="minorBidi"/>
          <w:sz w:val="26"/>
          <w:szCs w:val="26"/>
        </w:rPr>
      </w:pPr>
      <w:r>
        <w:rPr>
          <w:rFonts w:asciiTheme="minorBidi" w:hAnsiTheme="minorBidi"/>
          <w:sz w:val="26"/>
        </w:rPr>
        <w:t xml:space="preserve">Logika horri lotuta dago seinaleztapen-negozioa ere, Talde osoari egiten dion ekarpen estrategikoa indartzen jarraitzen baitu. </w:t>
      </w:r>
    </w:p>
    <w:p w14:paraId="78EAD555" w14:textId="28681638" w:rsidR="00685B28" w:rsidRPr="004C74D1" w:rsidRDefault="00685B28" w:rsidP="00171A03">
      <w:pPr>
        <w:spacing w:line="360" w:lineRule="auto"/>
        <w:jc w:val="both"/>
        <w:rPr>
          <w:rFonts w:asciiTheme="minorBidi" w:hAnsiTheme="minorBidi"/>
          <w:sz w:val="26"/>
          <w:szCs w:val="26"/>
        </w:rPr>
      </w:pPr>
      <w:r>
        <w:rPr>
          <w:rFonts w:asciiTheme="minorBidi" w:hAnsiTheme="minorBidi"/>
          <w:sz w:val="26"/>
        </w:rPr>
        <w:t xml:space="preserve">CAF </w:t>
      </w:r>
      <w:proofErr w:type="spellStart"/>
      <w:r>
        <w:rPr>
          <w:rFonts w:asciiTheme="minorBidi" w:hAnsiTheme="minorBidi"/>
          <w:sz w:val="26"/>
        </w:rPr>
        <w:t>Signallingek</w:t>
      </w:r>
      <w:proofErr w:type="spellEnd"/>
      <w:r>
        <w:rPr>
          <w:rFonts w:asciiTheme="minorBidi" w:hAnsiTheme="minorBidi"/>
          <w:sz w:val="26"/>
        </w:rPr>
        <w:t xml:space="preserve"> salmentetan eta errentagarritasunean hazten jarraitu du, tren arloko gure jarduerak modu naturalean osatzen dituen posizionamendu teknologikoa sendotuz.</w:t>
      </w:r>
    </w:p>
    <w:p w14:paraId="34317362" w14:textId="6915A47E" w:rsidR="00EB6272" w:rsidRPr="004C74D1" w:rsidRDefault="00171A03" w:rsidP="002A4210">
      <w:pPr>
        <w:spacing w:line="360" w:lineRule="auto"/>
        <w:jc w:val="both"/>
        <w:rPr>
          <w:rFonts w:asciiTheme="minorBidi" w:hAnsiTheme="minorBidi"/>
          <w:sz w:val="26"/>
          <w:szCs w:val="26"/>
        </w:rPr>
      </w:pPr>
      <w:r>
        <w:rPr>
          <w:rFonts w:asciiTheme="minorBidi" w:hAnsiTheme="minorBidi"/>
          <w:sz w:val="26"/>
        </w:rPr>
        <w:t>CBTC soluzioetan egindako aurrerapenek hiri-mugikortasunerako proiektu integralak eskaintzeko gaitasuna sendotu dute, bai tranbien arloan, bai metro automatikoen esparruan. Eta horri guztiari, gainera, ontziratutako seinaleztapenaren bilakaera bikaina eta trenbideko seinaleztapenaren funtsezko merkatuetan mantendutako lidergoa gehitu behar zaizkio. Horri guztiari esker, kanpoko eragileekiko mendekotasunak murriztu eta balio erantsi handiagoko aukerak aprobetxatu ditzakegu, trenbide-garraioaren digitalizazioa eta automatizazioa lehiakortasunerako faktore kritiko bihurtzen ari diren une honetan.</w:t>
      </w:r>
    </w:p>
    <w:p w14:paraId="2DA28798" w14:textId="7A3BAD9B" w:rsidR="00137B47" w:rsidRDefault="00137B47" w:rsidP="00EC0D3F">
      <w:pPr>
        <w:spacing w:line="360" w:lineRule="auto"/>
        <w:jc w:val="both"/>
        <w:rPr>
          <w:rFonts w:asciiTheme="minorBidi" w:hAnsiTheme="minorBidi"/>
          <w:sz w:val="26"/>
          <w:szCs w:val="26"/>
        </w:rPr>
      </w:pPr>
      <w:r>
        <w:rPr>
          <w:rFonts w:asciiTheme="minorBidi" w:hAnsiTheme="minorBidi"/>
          <w:sz w:val="26"/>
        </w:rPr>
        <w:lastRenderedPageBreak/>
        <w:t xml:space="preserve">Aurreko guztiaz gain, azken urteetan </w:t>
      </w:r>
      <w:proofErr w:type="spellStart"/>
      <w:r>
        <w:rPr>
          <w:rFonts w:asciiTheme="minorBidi" w:hAnsiTheme="minorBidi"/>
          <w:sz w:val="26"/>
        </w:rPr>
        <w:t>MiiRAko</w:t>
      </w:r>
      <w:proofErr w:type="spellEnd"/>
      <w:r>
        <w:rPr>
          <w:rFonts w:asciiTheme="minorBidi" w:hAnsiTheme="minorBidi"/>
          <w:sz w:val="26"/>
        </w:rPr>
        <w:t xml:space="preserve">/errodajeetako jarduerek izan duten bilakaera positiboak, eta birgaitzeko, kudeaketa integraleko eta EPC proiektuen garapenak (soluzio osoak eta fidagarriak eskaintzera zuzenduta daudenak) CAFen </w:t>
      </w:r>
      <w:proofErr w:type="spellStart"/>
      <w:r>
        <w:rPr>
          <w:rFonts w:asciiTheme="minorBidi" w:hAnsiTheme="minorBidi"/>
          <w:sz w:val="26"/>
        </w:rPr>
        <w:t>trengintza</w:t>
      </w:r>
      <w:proofErr w:type="spellEnd"/>
      <w:r>
        <w:rPr>
          <w:rFonts w:asciiTheme="minorBidi" w:hAnsiTheme="minorBidi"/>
          <w:sz w:val="26"/>
        </w:rPr>
        <w:t xml:space="preserve"> arloko negozioaren rola indartu dute Taldearen ardatz nagusi gisa. Eskala, ikusgarritasun handia eta marjina jasangarriak uztartzen dituen negozioa da, trenbideko garraioaren aldeko eskaria nagusi den testuinguruan.</w:t>
      </w:r>
    </w:p>
    <w:p w14:paraId="49782575" w14:textId="2BCEECB6" w:rsidR="00681389" w:rsidRPr="004C74D1" w:rsidRDefault="00EC0D3F" w:rsidP="00EC0D3F">
      <w:pPr>
        <w:spacing w:line="360" w:lineRule="auto"/>
        <w:jc w:val="both"/>
        <w:rPr>
          <w:rFonts w:asciiTheme="minorBidi" w:hAnsiTheme="minorBidi"/>
          <w:sz w:val="26"/>
          <w:szCs w:val="26"/>
        </w:rPr>
      </w:pPr>
      <w:r>
        <w:rPr>
          <w:rFonts w:asciiTheme="minorBidi" w:hAnsiTheme="minorBidi"/>
          <w:sz w:val="26"/>
        </w:rPr>
        <w:t xml:space="preserve">Autobusen segmentuan, SOLARIS enpresak berriro erakutsi du 2025ean CAFentzat balioa sortzeko motorra izan dela. Bere emaitza bikainak hiri-garraio publikoa eredu jasangarrietara bidean eraldatzearekin lerrokatuta dagoen balio-proposamena du oinarrian. </w:t>
      </w:r>
    </w:p>
    <w:p w14:paraId="28B7B17A" w14:textId="79307285" w:rsidR="0087798D" w:rsidRDefault="00EC0D3F" w:rsidP="00EC0D3F">
      <w:pPr>
        <w:spacing w:line="360" w:lineRule="auto"/>
        <w:jc w:val="both"/>
        <w:rPr>
          <w:rFonts w:asciiTheme="minorBidi" w:hAnsiTheme="minorBidi"/>
          <w:sz w:val="26"/>
          <w:szCs w:val="26"/>
        </w:rPr>
      </w:pPr>
      <w:r>
        <w:rPr>
          <w:rFonts w:asciiTheme="minorBidi" w:hAnsiTheme="minorBidi"/>
          <w:sz w:val="26"/>
        </w:rPr>
        <w:t xml:space="preserve">Errekor historikoak lortu ditu </w:t>
      </w:r>
      <w:proofErr w:type="spellStart"/>
      <w:r>
        <w:rPr>
          <w:rFonts w:asciiTheme="minorBidi" w:hAnsiTheme="minorBidi"/>
          <w:sz w:val="26"/>
        </w:rPr>
        <w:t>SOLARISek</w:t>
      </w:r>
      <w:proofErr w:type="spellEnd"/>
      <w:r>
        <w:rPr>
          <w:rFonts w:asciiTheme="minorBidi" w:hAnsiTheme="minorBidi"/>
          <w:sz w:val="26"/>
        </w:rPr>
        <w:t xml:space="preserve"> kontratazioan (2.000 milioi eurotik gora) eta salmentetan (1.200 milioi euro ingurukoak). Ondorioz, enpresak etorkizunari eskaera-zorro sendoarekin egingo dio aurre. Zorro horretan, ibilgailuen % 90 baino gehiago zero edo emisio txikiko teknologiei dagozkie. </w:t>
      </w:r>
    </w:p>
    <w:p w14:paraId="64AD4653" w14:textId="634389C9" w:rsidR="000879A6" w:rsidRPr="004C74D1" w:rsidRDefault="000879A6" w:rsidP="000879A6">
      <w:pPr>
        <w:spacing w:line="360" w:lineRule="auto"/>
        <w:jc w:val="both"/>
        <w:rPr>
          <w:rFonts w:asciiTheme="minorBidi" w:hAnsiTheme="minorBidi"/>
          <w:sz w:val="26"/>
          <w:szCs w:val="26"/>
        </w:rPr>
      </w:pPr>
      <w:r>
        <w:rPr>
          <w:rFonts w:asciiTheme="minorBidi" w:hAnsiTheme="minorBidi"/>
          <w:sz w:val="26"/>
        </w:rPr>
        <w:t xml:space="preserve">Emaitza bikain horrek indartu egiten du </w:t>
      </w:r>
      <w:proofErr w:type="spellStart"/>
      <w:r>
        <w:rPr>
          <w:rFonts w:asciiTheme="minorBidi" w:hAnsiTheme="minorBidi"/>
          <w:sz w:val="26"/>
        </w:rPr>
        <w:t>SOLARISek</w:t>
      </w:r>
      <w:proofErr w:type="spellEnd"/>
      <w:r>
        <w:rPr>
          <w:rFonts w:asciiTheme="minorBidi" w:hAnsiTheme="minorBidi"/>
          <w:sz w:val="26"/>
        </w:rPr>
        <w:t xml:space="preserve"> Europan zero emisioko hiri-mugikortasunaren arloan duen lidergo eztabaidaezina. Hain zuzen ere, segmentu horretan lehen postu historikoari eutsi dio, eta hidrogeno bidezko autobusen merkatuan are nabarmenagoa da bere kuota. Izan ere, iaz entregatutako era horretako bi autobusetatik bat zen </w:t>
      </w:r>
      <w:proofErr w:type="spellStart"/>
      <w:r>
        <w:rPr>
          <w:rFonts w:asciiTheme="minorBidi" w:hAnsiTheme="minorBidi"/>
          <w:sz w:val="26"/>
        </w:rPr>
        <w:t>Solaris</w:t>
      </w:r>
      <w:proofErr w:type="spellEnd"/>
      <w:r>
        <w:rPr>
          <w:rFonts w:asciiTheme="minorBidi" w:hAnsiTheme="minorBidi"/>
          <w:sz w:val="26"/>
        </w:rPr>
        <w:t xml:space="preserve"> etxekoa.</w:t>
      </w:r>
    </w:p>
    <w:p w14:paraId="2FFC0EA4" w14:textId="601DB487" w:rsidR="00EC0D3F" w:rsidRPr="004C74D1" w:rsidRDefault="00EC0D3F" w:rsidP="00EC0D3F">
      <w:pPr>
        <w:spacing w:line="360" w:lineRule="auto"/>
        <w:jc w:val="both"/>
        <w:rPr>
          <w:rFonts w:asciiTheme="minorBidi" w:hAnsiTheme="minorBidi"/>
          <w:sz w:val="26"/>
          <w:szCs w:val="26"/>
        </w:rPr>
      </w:pPr>
      <w:r>
        <w:rPr>
          <w:rFonts w:asciiTheme="minorBidi" w:hAnsiTheme="minorBidi"/>
          <w:sz w:val="26"/>
        </w:rPr>
        <w:t>Posizionamendu horrek industria-estrategia koherentea eta araudiaren nahiz operadoreen eskariaren bilakaeraren interpretazio egokia erakusten ditu; izan ere, operadoreak beren flotak zero emisioetako soluzioetara berritzeko lanak bizkortzen ari dira.</w:t>
      </w:r>
    </w:p>
    <w:p w14:paraId="331B17F7" w14:textId="7BECE62B" w:rsidR="000879A6" w:rsidRDefault="000879A6" w:rsidP="004148EB">
      <w:pPr>
        <w:spacing w:line="360" w:lineRule="auto"/>
        <w:jc w:val="both"/>
        <w:rPr>
          <w:rFonts w:asciiTheme="minorBidi" w:hAnsiTheme="minorBidi"/>
          <w:sz w:val="26"/>
          <w:szCs w:val="26"/>
        </w:rPr>
      </w:pPr>
      <w:r>
        <w:rPr>
          <w:rFonts w:asciiTheme="minorBidi" w:hAnsiTheme="minorBidi"/>
          <w:sz w:val="26"/>
        </w:rPr>
        <w:t xml:space="preserve">Talde osoari dagokionez, 4.400 milioi euroko salmenta organikoak lortzeko helburua Plan Estrategikoan aurrez ikusitakoa baino urtebete lehenago </w:t>
      </w:r>
      <w:r>
        <w:rPr>
          <w:rFonts w:asciiTheme="minorBidi" w:hAnsiTheme="minorBidi"/>
          <w:sz w:val="26"/>
        </w:rPr>
        <w:lastRenderedPageBreak/>
        <w:t xml:space="preserve">bete da. Errentagarritasun operatiboa modu jarraituan hobetu da, diru-sorkuntza positiboa da eta balantzea indartu egin da. </w:t>
      </w:r>
    </w:p>
    <w:p w14:paraId="2F83FAB4" w14:textId="594E7CEB" w:rsidR="004148EB" w:rsidRDefault="00681389" w:rsidP="004148EB">
      <w:pPr>
        <w:spacing w:line="360" w:lineRule="auto"/>
        <w:jc w:val="both"/>
        <w:rPr>
          <w:rFonts w:asciiTheme="minorBidi" w:hAnsiTheme="minorBidi"/>
          <w:sz w:val="26"/>
          <w:szCs w:val="26"/>
        </w:rPr>
      </w:pPr>
      <w:r>
        <w:rPr>
          <w:rFonts w:asciiTheme="minorBidi" w:hAnsiTheme="minorBidi"/>
          <w:sz w:val="26"/>
        </w:rPr>
        <w:t xml:space="preserve">Hala ere, horrek ez du esan nahi orain arteko zorroztasuna edo kudeaketa-irizpide zorrotzak alde batera utziko ditugunik; hori beharrean, datuek hautatutako bidea egokia dela sinesten dugula berretsi dute, eta hurrengo fase estrategikoari sendotasun-posiziotik heltzeko aukera eman digute. </w:t>
      </w:r>
    </w:p>
    <w:p w14:paraId="06D2F38D" w14:textId="77777777" w:rsidR="004148EB" w:rsidRPr="004148EB" w:rsidRDefault="004148EB" w:rsidP="004148EB">
      <w:pPr>
        <w:pStyle w:val="Ttulo"/>
        <w:spacing w:line="360" w:lineRule="auto"/>
        <w:jc w:val="both"/>
        <w:rPr>
          <w:rFonts w:asciiTheme="minorBidi" w:hAnsiTheme="minorBidi" w:cstheme="minorBidi"/>
          <w:i/>
          <w:iCs/>
          <w:color w:val="7F7F7F"/>
          <w:sz w:val="26"/>
          <w:szCs w:val="26"/>
          <w:u w:val="single"/>
        </w:rPr>
      </w:pPr>
      <w:r>
        <w:rPr>
          <w:rFonts w:asciiTheme="minorBidi" w:hAnsiTheme="minorBidi"/>
          <w:i/>
          <w:color w:val="7F7F7F"/>
          <w:sz w:val="26"/>
          <w:u w:val="single"/>
        </w:rPr>
        <w:t>[Etorkizunera begirada: 2027–2030 eta haratago]</w:t>
      </w:r>
    </w:p>
    <w:p w14:paraId="1376E812" w14:textId="5FD54CED" w:rsidR="007E53A2" w:rsidRDefault="004148EB" w:rsidP="004148EB">
      <w:pPr>
        <w:spacing w:line="360" w:lineRule="auto"/>
        <w:jc w:val="both"/>
        <w:rPr>
          <w:rFonts w:asciiTheme="minorBidi" w:hAnsiTheme="minorBidi"/>
          <w:sz w:val="26"/>
          <w:szCs w:val="26"/>
        </w:rPr>
      </w:pPr>
      <w:r>
        <w:rPr>
          <w:rFonts w:asciiTheme="minorBidi" w:hAnsiTheme="minorBidi"/>
          <w:sz w:val="26"/>
        </w:rPr>
        <w:t xml:space="preserve">Izan ere, 2026ko ekitaldia indarrean dagoen Plan Estrategikoaren azken urtea izango da, baina ez da amaiera-puntua. Hori beharrean, 2027–2030 ziklo estrategikorako zubi-urtea izango da. </w:t>
      </w:r>
    </w:p>
    <w:p w14:paraId="74FEEBA6" w14:textId="00646B82" w:rsidR="002A4210" w:rsidRPr="004C74D1" w:rsidRDefault="004148EB" w:rsidP="007E53A2">
      <w:pPr>
        <w:spacing w:line="360" w:lineRule="auto"/>
        <w:jc w:val="both"/>
        <w:rPr>
          <w:rFonts w:asciiTheme="minorBidi" w:hAnsiTheme="minorBidi"/>
          <w:sz w:val="26"/>
          <w:szCs w:val="26"/>
        </w:rPr>
      </w:pPr>
      <w:r>
        <w:rPr>
          <w:rFonts w:asciiTheme="minorBidi" w:hAnsiTheme="minorBidi"/>
          <w:sz w:val="26"/>
        </w:rPr>
        <w:t>Ziklo horri anbizioz helduko diogu, baina baita errealismoz ere. Arduraz prestatu behar dugu, ziurgabetasun handiak eta datozen urteetan gure sektorean definizio berria eragin dezaketen eraldaketa-dinamikak nagusi diren testuinguruan.</w:t>
      </w:r>
    </w:p>
    <w:p w14:paraId="2CB865ED" w14:textId="77777777" w:rsidR="000879A6" w:rsidRDefault="002A4210" w:rsidP="002A4210">
      <w:pPr>
        <w:spacing w:line="360" w:lineRule="auto"/>
        <w:jc w:val="both"/>
        <w:rPr>
          <w:rFonts w:asciiTheme="minorBidi" w:hAnsiTheme="minorBidi"/>
          <w:sz w:val="26"/>
          <w:szCs w:val="26"/>
        </w:rPr>
      </w:pPr>
      <w:r>
        <w:rPr>
          <w:rFonts w:asciiTheme="minorBidi" w:hAnsiTheme="minorBidi"/>
          <w:sz w:val="26"/>
        </w:rPr>
        <w:t xml:space="preserve">Eta uste sendo horrekin, dagoeneko hasi ditugu 2027–2030eko Plan Estrategikoa definitzeko lanak. </w:t>
      </w:r>
    </w:p>
    <w:p w14:paraId="7F3DD951" w14:textId="533A985C" w:rsidR="007574FD" w:rsidRDefault="00F443F4" w:rsidP="002A4210">
      <w:pPr>
        <w:spacing w:line="360" w:lineRule="auto"/>
        <w:jc w:val="both"/>
        <w:rPr>
          <w:rFonts w:asciiTheme="minorBidi" w:hAnsiTheme="minorBidi"/>
          <w:sz w:val="26"/>
          <w:szCs w:val="26"/>
        </w:rPr>
      </w:pPr>
      <w:r>
        <w:rPr>
          <w:rFonts w:asciiTheme="minorBidi" w:hAnsiTheme="minorBidi"/>
          <w:sz w:val="26"/>
        </w:rPr>
        <w:t xml:space="preserve">Oinarriak oso argi ditugu: errentagarritasunez haztea, eraginkortasuna indartzea eta gure lehentasun finantzarioen, operatiboen eta estrategikoen arteko koherentzia bermatzea. </w:t>
      </w:r>
    </w:p>
    <w:p w14:paraId="70029A28" w14:textId="044CBBAE" w:rsidR="002A4210" w:rsidRPr="004C74D1" w:rsidRDefault="007E53A2" w:rsidP="002A4210">
      <w:pPr>
        <w:spacing w:line="360" w:lineRule="auto"/>
        <w:jc w:val="both"/>
        <w:rPr>
          <w:rFonts w:asciiTheme="minorBidi" w:hAnsiTheme="minorBidi"/>
          <w:sz w:val="26"/>
          <w:szCs w:val="26"/>
        </w:rPr>
      </w:pPr>
      <w:r>
        <w:rPr>
          <w:rFonts w:asciiTheme="minorBidi" w:hAnsiTheme="minorBidi"/>
          <w:sz w:val="26"/>
        </w:rPr>
        <w:t>Hurrengo hamarkadarako gure etorkizuneko aukerak zabalduko dituen esparru argia eta aplikagarria eraiki nahi dugu, epe laburrera eta ertainera begirako exekuzioan jarritako arreta albo batera utzi gabe.</w:t>
      </w:r>
    </w:p>
    <w:p w14:paraId="43FCFDF4" w14:textId="77777777" w:rsidR="000879A6" w:rsidRDefault="007574FD" w:rsidP="007574FD">
      <w:pPr>
        <w:spacing w:line="360" w:lineRule="auto"/>
        <w:jc w:val="both"/>
        <w:rPr>
          <w:rFonts w:asciiTheme="minorBidi" w:hAnsiTheme="minorBidi"/>
          <w:sz w:val="26"/>
          <w:szCs w:val="26"/>
        </w:rPr>
      </w:pPr>
      <w:r>
        <w:rPr>
          <w:rFonts w:asciiTheme="minorBidi" w:hAnsiTheme="minorBidi"/>
          <w:sz w:val="26"/>
        </w:rPr>
        <w:t xml:space="preserve">Plan berri hau ez da orri zuri batetik abiatzen, industria-proiektu koherente eta frogatu baten sendotzetik baizik. Orain arte balioa erakutsi duten ildo estrategikoetan sakontzea da helburua. </w:t>
      </w:r>
    </w:p>
    <w:p w14:paraId="12E06173" w14:textId="761FC675" w:rsidR="002A4210" w:rsidRPr="004C74D1" w:rsidRDefault="007574FD" w:rsidP="007574FD">
      <w:pPr>
        <w:spacing w:line="360" w:lineRule="auto"/>
        <w:jc w:val="both"/>
        <w:rPr>
          <w:rFonts w:asciiTheme="minorBidi" w:hAnsiTheme="minorBidi"/>
          <w:sz w:val="26"/>
          <w:szCs w:val="26"/>
        </w:rPr>
      </w:pPr>
      <w:r>
        <w:rPr>
          <w:rFonts w:asciiTheme="minorBidi" w:hAnsiTheme="minorBidi"/>
          <w:sz w:val="26"/>
        </w:rPr>
        <w:t xml:space="preserve">Hortik abiatuta, 2030eko Plan Estrategikoa, batez ere, zorroaren kudeaketaren errentagarritasuna hobetzeko eta Taldea hazkunde-aukera berriak eskuratzeko </w:t>
      </w:r>
      <w:proofErr w:type="spellStart"/>
      <w:r>
        <w:rPr>
          <w:rFonts w:asciiTheme="minorBidi" w:hAnsiTheme="minorBidi"/>
          <w:sz w:val="26"/>
        </w:rPr>
        <w:t>posizionatzeko</w:t>
      </w:r>
      <w:proofErr w:type="spellEnd"/>
      <w:r>
        <w:rPr>
          <w:rFonts w:asciiTheme="minorBidi" w:hAnsiTheme="minorBidi"/>
          <w:sz w:val="26"/>
        </w:rPr>
        <w:t xml:space="preserve"> kudeaketa-tresna izango da.</w:t>
      </w:r>
    </w:p>
    <w:p w14:paraId="10CB6C73" w14:textId="7F7ED277" w:rsidR="004A4D99" w:rsidRDefault="00256B42" w:rsidP="00256B42">
      <w:pPr>
        <w:spacing w:line="360" w:lineRule="auto"/>
        <w:jc w:val="both"/>
        <w:rPr>
          <w:rFonts w:asciiTheme="minorBidi" w:hAnsiTheme="minorBidi"/>
          <w:sz w:val="26"/>
          <w:szCs w:val="26"/>
        </w:rPr>
      </w:pPr>
      <w:r>
        <w:rPr>
          <w:rFonts w:asciiTheme="minorBidi" w:hAnsiTheme="minorBidi"/>
          <w:sz w:val="26"/>
        </w:rPr>
        <w:lastRenderedPageBreak/>
        <w:t>Mugikortasuna eraldatzen ari diren joera handiek (</w:t>
      </w:r>
      <w:proofErr w:type="spellStart"/>
      <w:r>
        <w:rPr>
          <w:rFonts w:asciiTheme="minorBidi" w:hAnsiTheme="minorBidi"/>
          <w:sz w:val="26"/>
        </w:rPr>
        <w:t>elektrifikazioa</w:t>
      </w:r>
      <w:proofErr w:type="spellEnd"/>
      <w:r>
        <w:rPr>
          <w:rFonts w:asciiTheme="minorBidi" w:hAnsiTheme="minorBidi"/>
          <w:sz w:val="26"/>
        </w:rPr>
        <w:t xml:space="preserve">, digitalizazioa, automatizazioa eta hirigintza jasangarria) gure balio-proposamenaren alde jokatzen dute. </w:t>
      </w:r>
    </w:p>
    <w:p w14:paraId="5E09CBDA" w14:textId="1B1BB3BF" w:rsidR="00256B42" w:rsidRPr="004C74D1" w:rsidRDefault="00256B42" w:rsidP="00256B42">
      <w:pPr>
        <w:spacing w:line="360" w:lineRule="auto"/>
        <w:jc w:val="both"/>
        <w:rPr>
          <w:rFonts w:asciiTheme="minorBidi" w:hAnsiTheme="minorBidi"/>
          <w:sz w:val="26"/>
          <w:szCs w:val="26"/>
        </w:rPr>
      </w:pPr>
      <w:r>
        <w:rPr>
          <w:rFonts w:asciiTheme="minorBidi" w:hAnsiTheme="minorBidi"/>
          <w:sz w:val="26"/>
        </w:rPr>
        <w:t xml:space="preserve">Izan ere, horretarako portfolio osoa dugu, Europako mugikortasun publiko elektriko </w:t>
      </w:r>
      <w:proofErr w:type="spellStart"/>
      <w:r>
        <w:rPr>
          <w:rFonts w:asciiTheme="minorBidi" w:hAnsiTheme="minorBidi"/>
          <w:sz w:val="26"/>
        </w:rPr>
        <w:t>urbanoaren</w:t>
      </w:r>
      <w:proofErr w:type="spellEnd"/>
      <w:r>
        <w:rPr>
          <w:rFonts w:asciiTheme="minorBidi" w:hAnsiTheme="minorBidi"/>
          <w:sz w:val="26"/>
        </w:rPr>
        <w:t xml:space="preserve"> arloan lidergo-posizioa dugu, eta gero eta integratuago eta eraginkorrago dagoen antolakuntza.</w:t>
      </w:r>
    </w:p>
    <w:p w14:paraId="38DE636E" w14:textId="2177F56D" w:rsidR="00256B42" w:rsidRPr="004C74D1" w:rsidRDefault="00256B42" w:rsidP="00256B42">
      <w:pPr>
        <w:spacing w:line="360" w:lineRule="auto"/>
        <w:jc w:val="both"/>
        <w:rPr>
          <w:rFonts w:asciiTheme="minorBidi" w:hAnsiTheme="minorBidi"/>
          <w:sz w:val="26"/>
          <w:szCs w:val="26"/>
        </w:rPr>
      </w:pPr>
      <w:r>
        <w:rPr>
          <w:rFonts w:asciiTheme="minorBidi" w:hAnsiTheme="minorBidi"/>
          <w:sz w:val="26"/>
        </w:rPr>
        <w:t>Argi dago hurrengo urteotarako gure helburua: modu errentagarrian hazten jarraitzea, marjinak pixkanaka hobetzea, finantza-diziplina sendoari eustea eta epe luzera begira balio jasangarria sortzen jarraitzea.</w:t>
      </w:r>
    </w:p>
    <w:p w14:paraId="469948C1" w14:textId="77777777" w:rsidR="00256B42" w:rsidRPr="004C74D1" w:rsidRDefault="00256B42" w:rsidP="00256B42">
      <w:pPr>
        <w:spacing w:line="360" w:lineRule="auto"/>
        <w:jc w:val="both"/>
        <w:rPr>
          <w:rFonts w:asciiTheme="minorBidi" w:hAnsiTheme="minorBidi"/>
          <w:sz w:val="26"/>
          <w:szCs w:val="26"/>
        </w:rPr>
      </w:pPr>
      <w:r>
        <w:rPr>
          <w:rFonts w:asciiTheme="minorBidi" w:hAnsiTheme="minorBidi"/>
          <w:sz w:val="26"/>
        </w:rPr>
        <w:t xml:space="preserve">Hori guztia egiteko, gure eskaera-zorroan, gaitasun teknologikoan eta arriskuen kudeaketa arduratsuan oinarrituko gara, betiere epe luzera begirako </w:t>
      </w:r>
      <w:proofErr w:type="spellStart"/>
      <w:r>
        <w:rPr>
          <w:rFonts w:asciiTheme="minorBidi" w:hAnsiTheme="minorBidi"/>
          <w:sz w:val="26"/>
        </w:rPr>
        <w:t>arretagunea</w:t>
      </w:r>
      <w:proofErr w:type="spellEnd"/>
      <w:r>
        <w:rPr>
          <w:rFonts w:asciiTheme="minorBidi" w:hAnsiTheme="minorBidi"/>
          <w:sz w:val="26"/>
        </w:rPr>
        <w:t xml:space="preserve"> mantenduta.</w:t>
      </w:r>
    </w:p>
    <w:p w14:paraId="109D8549" w14:textId="5351F366" w:rsidR="004A4D99" w:rsidRPr="004C74D1" w:rsidRDefault="004A4D99" w:rsidP="004A4D99">
      <w:pPr>
        <w:pStyle w:val="Ttulo"/>
        <w:spacing w:line="360" w:lineRule="auto"/>
        <w:jc w:val="both"/>
        <w:rPr>
          <w:rFonts w:asciiTheme="minorBidi" w:hAnsiTheme="minorBidi" w:cstheme="minorBidi"/>
          <w:i/>
          <w:iCs/>
          <w:color w:val="7F7F7F"/>
          <w:sz w:val="26"/>
          <w:szCs w:val="26"/>
        </w:rPr>
      </w:pPr>
      <w:r>
        <w:rPr>
          <w:rFonts w:asciiTheme="minorBidi" w:hAnsiTheme="minorBidi"/>
          <w:i/>
          <w:color w:val="7F7F7F"/>
          <w:sz w:val="26"/>
        </w:rPr>
        <w:t xml:space="preserve">[Lehia arloko baldintza </w:t>
      </w:r>
      <w:proofErr w:type="spellStart"/>
      <w:r>
        <w:rPr>
          <w:rFonts w:asciiTheme="minorBidi" w:hAnsiTheme="minorBidi"/>
          <w:i/>
          <w:color w:val="7F7F7F"/>
          <w:sz w:val="26"/>
        </w:rPr>
        <w:t>ekitatiboak</w:t>
      </w:r>
      <w:proofErr w:type="spellEnd"/>
      <w:r>
        <w:rPr>
          <w:rFonts w:asciiTheme="minorBidi" w:hAnsiTheme="minorBidi"/>
          <w:i/>
          <w:color w:val="7F7F7F"/>
          <w:sz w:val="26"/>
        </w:rPr>
        <w:t>, eraldaketa digitala, araudi-egonkortasuna eta harmonizazio teknikoa]</w:t>
      </w:r>
    </w:p>
    <w:p w14:paraId="387ADB2C" w14:textId="733D4B07" w:rsidR="00135BD9" w:rsidRPr="004C74D1" w:rsidRDefault="00135BD9" w:rsidP="001D4C3F">
      <w:pPr>
        <w:spacing w:line="360" w:lineRule="auto"/>
        <w:jc w:val="both"/>
        <w:rPr>
          <w:rFonts w:asciiTheme="minorBidi" w:hAnsiTheme="minorBidi"/>
          <w:sz w:val="26"/>
          <w:szCs w:val="26"/>
        </w:rPr>
      </w:pPr>
      <w:r>
        <w:rPr>
          <w:rFonts w:asciiTheme="minorBidi" w:hAnsiTheme="minorBidi"/>
          <w:sz w:val="26"/>
        </w:rPr>
        <w:t>Europako mugikortasun-merkatua, CAFen merkatu nagusia dena, oraindik ere nazioartean handiena eta estrategikoena da.</w:t>
      </w:r>
    </w:p>
    <w:p w14:paraId="6D4DA1FB" w14:textId="11743160" w:rsidR="000E4BA8" w:rsidRPr="004C74D1" w:rsidRDefault="009B7BEB" w:rsidP="000E4BA8">
      <w:pPr>
        <w:spacing w:line="360" w:lineRule="auto"/>
        <w:jc w:val="both"/>
        <w:rPr>
          <w:rFonts w:asciiTheme="minorBidi" w:hAnsiTheme="minorBidi"/>
          <w:sz w:val="26"/>
          <w:szCs w:val="26"/>
        </w:rPr>
      </w:pPr>
      <w:r>
        <w:rPr>
          <w:rFonts w:asciiTheme="minorBidi" w:hAnsiTheme="minorBidi"/>
          <w:sz w:val="26"/>
        </w:rPr>
        <w:t>Hala ere, datu bat ohartarazi nahiko nuke: Europako enpresok gero eta gehiago gaude hirugarren herrialdeetako estatu-eragileek eta dirulaguntza handiak jasotzen dituzten enpresek eragindako lehia desleialaren arriskupean.</w:t>
      </w:r>
    </w:p>
    <w:p w14:paraId="73696FC0" w14:textId="671C2D04" w:rsidR="009A4107" w:rsidRPr="004C74D1" w:rsidRDefault="003C6B50" w:rsidP="009A4107">
      <w:pPr>
        <w:spacing w:line="360" w:lineRule="auto"/>
        <w:jc w:val="both"/>
        <w:rPr>
          <w:rFonts w:asciiTheme="minorBidi" w:hAnsiTheme="minorBidi"/>
          <w:sz w:val="26"/>
          <w:szCs w:val="26"/>
        </w:rPr>
      </w:pPr>
      <w:r>
        <w:rPr>
          <w:rFonts w:asciiTheme="minorBidi" w:hAnsiTheme="minorBidi"/>
          <w:sz w:val="26"/>
        </w:rPr>
        <w:t xml:space="preserve">Europak garaiz jarduten ez badu, taktika horiek Europako industria-oinarria ahuldu dezakete. Horregatik, begirada guztiak Europari bere industria-oinarria mantentzea ahalbidetuko dion politikaren garapenean daude jarrita. Une honetan arreta berezia jarri nahi dugu kontratazio publikoaren Europako esparruaren erreforman, lehia-baldintza </w:t>
      </w:r>
      <w:proofErr w:type="spellStart"/>
      <w:r>
        <w:rPr>
          <w:rFonts w:asciiTheme="minorBidi" w:hAnsiTheme="minorBidi"/>
          <w:sz w:val="26"/>
        </w:rPr>
        <w:t>ekitatiboak</w:t>
      </w:r>
      <w:proofErr w:type="spellEnd"/>
      <w:r>
        <w:rPr>
          <w:rFonts w:asciiTheme="minorBidi" w:hAnsiTheme="minorBidi"/>
          <w:sz w:val="26"/>
        </w:rPr>
        <w:t xml:space="preserve"> bermatu eta eskualdearen segurtasun industriala eta gaitasun teknologikoa babestu beharko bailituzke. </w:t>
      </w:r>
    </w:p>
    <w:p w14:paraId="66F3538E" w14:textId="588DEF83" w:rsidR="009A4107" w:rsidRPr="004C74D1" w:rsidRDefault="007574FD" w:rsidP="00831A21">
      <w:pPr>
        <w:spacing w:line="360" w:lineRule="auto"/>
        <w:jc w:val="both"/>
        <w:rPr>
          <w:rFonts w:asciiTheme="minorBidi" w:hAnsiTheme="minorBidi"/>
          <w:sz w:val="26"/>
          <w:szCs w:val="26"/>
        </w:rPr>
      </w:pPr>
      <w:r>
        <w:rPr>
          <w:rFonts w:asciiTheme="minorBidi" w:hAnsiTheme="minorBidi"/>
          <w:sz w:val="26"/>
        </w:rPr>
        <w:lastRenderedPageBreak/>
        <w:t xml:space="preserve">Horregatik babestu nahi izan genuen Europako Batzordeko presidenteorde exekutiboak kaleratutako manifestua, helburu handiagoak dituen eta eraginkorragoa den Europako industria-politika eskatzen zuena. </w:t>
      </w:r>
    </w:p>
    <w:p w14:paraId="71ACF11B" w14:textId="04B83E1D" w:rsidR="00831A21" w:rsidRPr="004C74D1" w:rsidRDefault="004148EB" w:rsidP="00831A21">
      <w:pPr>
        <w:spacing w:line="360" w:lineRule="auto"/>
        <w:jc w:val="both"/>
        <w:rPr>
          <w:rFonts w:asciiTheme="minorBidi" w:hAnsiTheme="minorBidi"/>
          <w:sz w:val="26"/>
          <w:szCs w:val="26"/>
        </w:rPr>
      </w:pPr>
      <w:r>
        <w:rPr>
          <w:rFonts w:asciiTheme="minorBidi" w:hAnsiTheme="minorBidi"/>
          <w:sz w:val="26"/>
        </w:rPr>
        <w:t xml:space="preserve">Baina, enpresa gisa, ezin gara zain geratu. Lehia arloko baldintza </w:t>
      </w:r>
      <w:proofErr w:type="spellStart"/>
      <w:r>
        <w:rPr>
          <w:rFonts w:asciiTheme="minorBidi" w:hAnsiTheme="minorBidi"/>
          <w:sz w:val="26"/>
        </w:rPr>
        <w:t>ekitatiboak</w:t>
      </w:r>
      <w:proofErr w:type="spellEnd"/>
      <w:r>
        <w:rPr>
          <w:rFonts w:asciiTheme="minorBidi" w:hAnsiTheme="minorBidi"/>
          <w:sz w:val="26"/>
        </w:rPr>
        <w:t xml:space="preserve"> ezinbestekoak dira, baina ez dute bere horretan arrakasta bermatzen. Aurrea hartu behar dugu, eta modu proaktiboan jardun, erronkei erantzuteko eta aukerak aprobetxatzeko.</w:t>
      </w:r>
    </w:p>
    <w:p w14:paraId="2FE954B0" w14:textId="32E10906" w:rsidR="00831A21" w:rsidRPr="004C74D1" w:rsidRDefault="000868BA" w:rsidP="00831A21">
      <w:pPr>
        <w:spacing w:line="360" w:lineRule="auto"/>
        <w:jc w:val="both"/>
        <w:rPr>
          <w:rFonts w:asciiTheme="minorBidi" w:hAnsiTheme="minorBidi"/>
          <w:sz w:val="26"/>
          <w:szCs w:val="26"/>
        </w:rPr>
      </w:pPr>
      <w:r>
        <w:rPr>
          <w:rFonts w:asciiTheme="minorBidi" w:hAnsiTheme="minorBidi"/>
          <w:sz w:val="26"/>
        </w:rPr>
        <w:t>Badakigu kapital intentsiboko eta hornidura-kate konplexuak dituzten industriek (horixe bera da, hain zuzen ere, gure kasua) zailtasun handiagoak dituztela egiturazko eta geopolitikako aldaketetara azkar egokitzeko.</w:t>
      </w:r>
    </w:p>
    <w:p w14:paraId="1CB045CF" w14:textId="67549D34" w:rsidR="00135BD9" w:rsidRPr="004C74D1" w:rsidRDefault="000868BA" w:rsidP="00831A21">
      <w:pPr>
        <w:spacing w:line="360" w:lineRule="auto"/>
        <w:jc w:val="both"/>
        <w:rPr>
          <w:rFonts w:asciiTheme="minorBidi" w:hAnsiTheme="minorBidi"/>
          <w:sz w:val="26"/>
          <w:szCs w:val="26"/>
        </w:rPr>
      </w:pPr>
      <w:r>
        <w:rPr>
          <w:rFonts w:asciiTheme="minorBidi" w:hAnsiTheme="minorBidi"/>
          <w:sz w:val="26"/>
        </w:rPr>
        <w:t xml:space="preserve">Horregatik, merkatuen gaineko ikusgarritasuna handitzea, </w:t>
      </w:r>
      <w:proofErr w:type="spellStart"/>
      <w:r>
        <w:rPr>
          <w:rFonts w:asciiTheme="minorBidi" w:hAnsiTheme="minorBidi"/>
          <w:sz w:val="26"/>
        </w:rPr>
        <w:t>bezeroengandik</w:t>
      </w:r>
      <w:proofErr w:type="spellEnd"/>
      <w:r>
        <w:rPr>
          <w:rFonts w:asciiTheme="minorBidi" w:hAnsiTheme="minorBidi"/>
          <w:sz w:val="26"/>
        </w:rPr>
        <w:t xml:space="preserve"> gertu egotea eta malgutasun operatiboa handitzea (bai produkzio mailako gaitasunean, bai hornikuntza-ereduetan) funtsezkoa izango da ez bakarrik </w:t>
      </w:r>
      <w:proofErr w:type="spellStart"/>
      <w:r>
        <w:rPr>
          <w:rFonts w:asciiTheme="minorBidi" w:hAnsiTheme="minorBidi"/>
          <w:sz w:val="26"/>
        </w:rPr>
        <w:t>disrupzioei</w:t>
      </w:r>
      <w:proofErr w:type="spellEnd"/>
      <w:r>
        <w:rPr>
          <w:rFonts w:asciiTheme="minorBidi" w:hAnsiTheme="minorBidi"/>
          <w:sz w:val="26"/>
        </w:rPr>
        <w:t xml:space="preserve"> aurre egiteko, baita hazkunde-aukera berriak aprobetxatzeko ere.</w:t>
      </w:r>
    </w:p>
    <w:p w14:paraId="2B34A107" w14:textId="232305DB" w:rsidR="00284656" w:rsidRPr="004C74D1" w:rsidRDefault="000868BA" w:rsidP="00135BD9">
      <w:pPr>
        <w:spacing w:line="360" w:lineRule="auto"/>
        <w:jc w:val="both"/>
        <w:rPr>
          <w:rFonts w:asciiTheme="minorBidi" w:hAnsiTheme="minorBidi"/>
          <w:sz w:val="26"/>
          <w:szCs w:val="26"/>
        </w:rPr>
      </w:pPr>
      <w:r>
        <w:rPr>
          <w:rFonts w:asciiTheme="minorBidi" w:hAnsiTheme="minorBidi"/>
          <w:sz w:val="26"/>
        </w:rPr>
        <w:t xml:space="preserve">Era berean, berrikuntzarako ibilbide-orri integral eta dinamikoan aurrera egiten jarraitu behar dugu, are intentsitate handiagoz, teknologia, datuak eta tresna digitalak negozioaren helburu orokorrekin lerrokatuta aprobetxatuz. </w:t>
      </w:r>
    </w:p>
    <w:p w14:paraId="3172CFBF" w14:textId="443DEBC3" w:rsidR="00135BD9" w:rsidRPr="004C74D1" w:rsidRDefault="00284656" w:rsidP="00284656">
      <w:pPr>
        <w:spacing w:line="360" w:lineRule="auto"/>
        <w:jc w:val="both"/>
        <w:rPr>
          <w:rFonts w:asciiTheme="minorBidi" w:hAnsiTheme="minorBidi"/>
          <w:sz w:val="26"/>
          <w:szCs w:val="26"/>
        </w:rPr>
      </w:pPr>
      <w:r>
        <w:rPr>
          <w:rFonts w:asciiTheme="minorBidi" w:hAnsiTheme="minorBidi"/>
          <w:sz w:val="26"/>
        </w:rPr>
        <w:t xml:space="preserve">Funtsezkoa da adimen artifizialaren eta automatizazioaren erabilera bizkortzea balioa sortzeko, abian jar daitezkeen eraldaketa digitaleko planen eta errendimendu-adierazle argi eta neurgarrien bidez. </w:t>
      </w:r>
    </w:p>
    <w:p w14:paraId="537B534C" w14:textId="6C2E47A3" w:rsidR="00135BD9" w:rsidRPr="004C74D1" w:rsidRDefault="0065613F" w:rsidP="00CB46C2">
      <w:pPr>
        <w:spacing w:line="360" w:lineRule="auto"/>
        <w:jc w:val="both"/>
        <w:rPr>
          <w:rFonts w:asciiTheme="minorBidi" w:hAnsiTheme="minorBidi"/>
          <w:sz w:val="26"/>
          <w:szCs w:val="26"/>
        </w:rPr>
      </w:pPr>
      <w:r>
        <w:rPr>
          <w:rFonts w:asciiTheme="minorBidi" w:hAnsiTheme="minorBidi"/>
          <w:sz w:val="26"/>
        </w:rPr>
        <w:t>Geure burua behartu behar dugu horretara, taldean, baina baita banaka ere, epe laburrean eboluzio sakona izatera, eta, aldi berean, epe luzeko ikuspegia etengabe mantentzera.</w:t>
      </w:r>
    </w:p>
    <w:p w14:paraId="7BA6303F" w14:textId="44E0DB04" w:rsidR="009D1F0C" w:rsidRPr="004C74D1" w:rsidRDefault="00831A21" w:rsidP="009D1F0C">
      <w:pPr>
        <w:spacing w:line="360" w:lineRule="auto"/>
        <w:jc w:val="both"/>
        <w:rPr>
          <w:rFonts w:asciiTheme="minorBidi" w:hAnsiTheme="minorBidi"/>
          <w:sz w:val="26"/>
          <w:szCs w:val="26"/>
        </w:rPr>
      </w:pPr>
      <w:r>
        <w:rPr>
          <w:rFonts w:asciiTheme="minorBidi" w:hAnsiTheme="minorBidi"/>
          <w:sz w:val="26"/>
        </w:rPr>
        <w:t>Amaitzeko, gure industriaren etorkizunerako Europan ezinbestekoa iruditzen zaidan beste gai bat aipatu nahiko nuke: trenbide-sektorearen harmonizazio teknikoa eta erregulazioaren egonkortasuna.</w:t>
      </w:r>
    </w:p>
    <w:p w14:paraId="2D47AAFD" w14:textId="77777777" w:rsidR="003F4FA5" w:rsidRPr="004C74D1" w:rsidRDefault="009D1F0C" w:rsidP="009D1F0C">
      <w:pPr>
        <w:spacing w:line="360" w:lineRule="auto"/>
        <w:jc w:val="both"/>
        <w:rPr>
          <w:rFonts w:asciiTheme="minorBidi" w:hAnsiTheme="minorBidi"/>
          <w:sz w:val="26"/>
          <w:szCs w:val="26"/>
        </w:rPr>
      </w:pPr>
      <w:r>
        <w:rPr>
          <w:rFonts w:asciiTheme="minorBidi" w:hAnsiTheme="minorBidi"/>
          <w:sz w:val="26"/>
        </w:rPr>
        <w:lastRenderedPageBreak/>
        <w:t xml:space="preserve">Ezinbestekoa iruditzen zaigu zehaztapen teknikoak egonkortzeko bidean aurrera egitea, arauak eta eskakizunak maiz aldatzen diren eta jurisdikzio bakoitzaren arabera interpretazio desberdinak izan ditzaketen arau eta eskakizunen mende gera ez daitezen. </w:t>
      </w:r>
    </w:p>
    <w:p w14:paraId="13B39A0C" w14:textId="3196DDA8" w:rsidR="00831A21" w:rsidRPr="004C74D1" w:rsidRDefault="00831A21" w:rsidP="009D1F0C">
      <w:pPr>
        <w:spacing w:line="360" w:lineRule="auto"/>
        <w:jc w:val="both"/>
        <w:rPr>
          <w:rFonts w:asciiTheme="minorBidi" w:hAnsiTheme="minorBidi"/>
          <w:sz w:val="26"/>
          <w:szCs w:val="26"/>
        </w:rPr>
      </w:pPr>
      <w:r>
        <w:rPr>
          <w:rFonts w:asciiTheme="minorBidi" w:hAnsiTheme="minorBidi"/>
          <w:sz w:val="26"/>
        </w:rPr>
        <w:t>Egonkortasun hori ezinbestekoa da plangintzarako, epe luzeko inbertsiorako eta Europako merkatuaren beharrei erantzuten dieten produktu berritzaileak garatzeko, eskakizun desberdin edo ustekabeen ondorioz zigorrak jasateko arriskurik gabe.</w:t>
      </w:r>
    </w:p>
    <w:p w14:paraId="4D4DD6B8" w14:textId="4D9E8151" w:rsidR="003F4FA5" w:rsidRPr="004C74D1" w:rsidRDefault="002F0731" w:rsidP="009D1F0C">
      <w:pPr>
        <w:spacing w:line="360" w:lineRule="auto"/>
        <w:jc w:val="both"/>
        <w:rPr>
          <w:rFonts w:asciiTheme="minorBidi" w:hAnsiTheme="minorBidi"/>
          <w:sz w:val="26"/>
          <w:szCs w:val="26"/>
        </w:rPr>
      </w:pPr>
      <w:r>
        <w:rPr>
          <w:rFonts w:asciiTheme="minorBidi" w:hAnsiTheme="minorBidi"/>
          <w:sz w:val="26"/>
        </w:rPr>
        <w:t>Bestalde, Europa mailan harmonizazio teknikoa bizkortzea ezinbesteko baldintza da produktu eta zerbitzu berrien merkaturatzea azkartzeko, kostuak murrizteko eta eraginkortasuna hobetzeko.</w:t>
      </w:r>
    </w:p>
    <w:p w14:paraId="71856FE9" w14:textId="77777777" w:rsidR="009D1F0C" w:rsidRPr="004C74D1" w:rsidRDefault="00831A21" w:rsidP="009D1F0C">
      <w:pPr>
        <w:spacing w:line="360" w:lineRule="auto"/>
        <w:jc w:val="both"/>
        <w:rPr>
          <w:rFonts w:asciiTheme="minorBidi" w:hAnsiTheme="minorBidi"/>
          <w:sz w:val="26"/>
          <w:szCs w:val="26"/>
        </w:rPr>
      </w:pPr>
      <w:r>
        <w:rPr>
          <w:rFonts w:asciiTheme="minorBidi" w:hAnsiTheme="minorBidi"/>
          <w:sz w:val="26"/>
        </w:rPr>
        <w:t xml:space="preserve">Azken batean, harmonizazio teknikoak eta araudiaren egonkortasunak ez dute soilik bidezko lehia sustatzen. Hori beharrean, Europako industria-oinarria sendotzeko eta berrikuntza jasangarria bultzatzeko oinarrizko zutabeak dira. </w:t>
      </w:r>
    </w:p>
    <w:p w14:paraId="7CFDDCBB" w14:textId="3AA81374" w:rsidR="00256B42" w:rsidRPr="004C74D1" w:rsidRDefault="004148EB" w:rsidP="00135BD9">
      <w:pPr>
        <w:pStyle w:val="Ttulo"/>
        <w:spacing w:line="360" w:lineRule="auto"/>
        <w:jc w:val="both"/>
        <w:rPr>
          <w:rFonts w:asciiTheme="minorBidi" w:hAnsiTheme="minorBidi" w:cstheme="minorBidi"/>
          <w:i/>
          <w:iCs/>
          <w:color w:val="7F7F7F"/>
          <w:sz w:val="26"/>
          <w:szCs w:val="26"/>
        </w:rPr>
      </w:pPr>
      <w:r>
        <w:rPr>
          <w:rFonts w:asciiTheme="minorBidi" w:hAnsiTheme="minorBidi"/>
          <w:i/>
          <w:color w:val="7F7F7F"/>
          <w:sz w:val="26"/>
        </w:rPr>
        <w:t>[Akziodunari zuzendutako amaierako mezua]</w:t>
      </w:r>
    </w:p>
    <w:p w14:paraId="43951AAD" w14:textId="0993C547" w:rsidR="00256B42" w:rsidRPr="004C74D1" w:rsidRDefault="00256B42" w:rsidP="00135BD9">
      <w:pPr>
        <w:spacing w:line="360" w:lineRule="auto"/>
        <w:jc w:val="both"/>
        <w:rPr>
          <w:rFonts w:asciiTheme="minorBidi" w:hAnsiTheme="minorBidi"/>
          <w:sz w:val="26"/>
          <w:szCs w:val="26"/>
        </w:rPr>
      </w:pPr>
      <w:r>
        <w:rPr>
          <w:rFonts w:asciiTheme="minorBidi" w:hAnsiTheme="minorBidi"/>
          <w:sz w:val="26"/>
        </w:rPr>
        <w:t>2025eko emaitzek agerian utzi dute Taldearen noranzkoa zuzena dela. Hazkundea, errentagarritasuna, finantza-sendotasuna eta jasangarritasunarekiko konpromisoa erakutsi ditugu. Ezarri genituen helburuak betetzen ari gara, eta etorkizuneko erronkei eta aukerei aurre egiteko prest gaude.</w:t>
      </w:r>
    </w:p>
    <w:p w14:paraId="4A2D29ED" w14:textId="77777777" w:rsidR="00256B42" w:rsidRPr="004C74D1" w:rsidRDefault="00256B42" w:rsidP="00135BD9">
      <w:pPr>
        <w:spacing w:line="360" w:lineRule="auto"/>
        <w:jc w:val="both"/>
        <w:rPr>
          <w:rFonts w:asciiTheme="minorBidi" w:hAnsiTheme="minorBidi"/>
          <w:sz w:val="26"/>
          <w:szCs w:val="26"/>
        </w:rPr>
      </w:pPr>
      <w:r>
        <w:rPr>
          <w:rFonts w:asciiTheme="minorBidi" w:hAnsiTheme="minorBidi"/>
          <w:sz w:val="26"/>
        </w:rPr>
        <w:t>Eskerrak eman nahi dizkizuet proiektu honetan jarritako konfiantzagatik, emandako babesagatik eta epe luzera begirako konpromisoagatik. Zorroztasunez, gardentasunez eta erantzukizunez jardunez, Zuzendaritza-taldea eta Administrazio Kontseilu osoa balio jasangarria sortzeko helburuarekin erabat lerrokatuta gaudela adierazi nahi dizuet.</w:t>
      </w:r>
    </w:p>
    <w:p w14:paraId="2B4BB961" w14:textId="41AE4316" w:rsidR="00314327" w:rsidRPr="004C74D1" w:rsidRDefault="00256B42" w:rsidP="00135BD9">
      <w:pPr>
        <w:spacing w:line="360" w:lineRule="auto"/>
        <w:jc w:val="both"/>
        <w:rPr>
          <w:rFonts w:asciiTheme="minorBidi" w:hAnsiTheme="minorBidi"/>
          <w:sz w:val="26"/>
          <w:szCs w:val="26"/>
        </w:rPr>
      </w:pPr>
      <w:r>
        <w:rPr>
          <w:rFonts w:asciiTheme="minorBidi" w:hAnsiTheme="minorBidi"/>
          <w:sz w:val="26"/>
        </w:rPr>
        <w:t>Eskerrik asko zuen arretagatik eta gaur Batzar Orokor honetan gurekin egoteagatik.</w:t>
      </w:r>
    </w:p>
    <w:sectPr w:rsidR="00314327" w:rsidRPr="004C74D1" w:rsidSect="00183351">
      <w:headerReference w:type="default" r:id="rId10"/>
      <w:footerReference w:type="default" r:id="rId11"/>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1C652" w14:textId="77777777" w:rsidR="00A70E9C" w:rsidRDefault="00A70E9C" w:rsidP="003E3280">
      <w:pPr>
        <w:spacing w:after="0" w:line="240" w:lineRule="auto"/>
      </w:pPr>
      <w:r>
        <w:separator/>
      </w:r>
    </w:p>
  </w:endnote>
  <w:endnote w:type="continuationSeparator" w:id="0">
    <w:p w14:paraId="10963726" w14:textId="77777777" w:rsidR="00A70E9C" w:rsidRDefault="00A70E9C" w:rsidP="003E3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3A746" w14:textId="77B6B5FC" w:rsidR="004956E2" w:rsidRPr="00183351" w:rsidRDefault="00CE2998" w:rsidP="00CE2998">
    <w:pPr>
      <w:pStyle w:val="Piedepgina"/>
      <w:jc w:val="center"/>
      <w:rPr>
        <w:rFonts w:asciiTheme="minorBidi" w:hAnsiTheme="minorBidi"/>
        <w:sz w:val="24"/>
        <w:szCs w:val="24"/>
      </w:rPr>
    </w:pPr>
    <w:r w:rsidRPr="00183351">
      <w:rPr>
        <w:rFonts w:asciiTheme="minorBidi" w:hAnsiTheme="minorBidi"/>
        <w:sz w:val="24"/>
      </w:rPr>
      <w:fldChar w:fldCharType="begin"/>
    </w:r>
    <w:r w:rsidRPr="00183351">
      <w:rPr>
        <w:rFonts w:asciiTheme="minorBidi" w:hAnsiTheme="minorBidi"/>
        <w:sz w:val="24"/>
      </w:rPr>
      <w:instrText>PAGE   \* MERGEFORMAT</w:instrText>
    </w:r>
    <w:r w:rsidRPr="00183351">
      <w:rPr>
        <w:rFonts w:asciiTheme="minorBidi" w:hAnsiTheme="minorBidi"/>
        <w:sz w:val="24"/>
      </w:rPr>
      <w:fldChar w:fldCharType="separate"/>
    </w:r>
    <w:r w:rsidRPr="00183351">
      <w:rPr>
        <w:rFonts w:asciiTheme="minorBidi" w:hAnsiTheme="minorBidi"/>
        <w:sz w:val="24"/>
      </w:rPr>
      <w:t>1</w:t>
    </w:r>
    <w:r w:rsidRPr="00183351">
      <w:rPr>
        <w:rFonts w:asciiTheme="minorBidi" w:hAnsiTheme="minorBidi"/>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4E96E" w14:textId="77777777" w:rsidR="00A70E9C" w:rsidRDefault="00A70E9C" w:rsidP="003E3280">
      <w:pPr>
        <w:spacing w:after="0" w:line="240" w:lineRule="auto"/>
      </w:pPr>
      <w:r>
        <w:separator/>
      </w:r>
    </w:p>
  </w:footnote>
  <w:footnote w:type="continuationSeparator" w:id="0">
    <w:p w14:paraId="07CD32A7" w14:textId="77777777" w:rsidR="00A70E9C" w:rsidRDefault="00A70E9C" w:rsidP="003E32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C0290" w14:textId="5D9A81F7" w:rsidR="003F4FA5" w:rsidRDefault="003F4FA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F090E"/>
    <w:multiLevelType w:val="multilevel"/>
    <w:tmpl w:val="150E0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7A6718"/>
    <w:multiLevelType w:val="hybridMultilevel"/>
    <w:tmpl w:val="83F85C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572D3B"/>
    <w:multiLevelType w:val="multilevel"/>
    <w:tmpl w:val="B9FEB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D00EC7"/>
    <w:multiLevelType w:val="multilevel"/>
    <w:tmpl w:val="18D27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6A16BD"/>
    <w:multiLevelType w:val="multilevel"/>
    <w:tmpl w:val="0E86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8D129B"/>
    <w:multiLevelType w:val="multilevel"/>
    <w:tmpl w:val="157A4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BD7D59"/>
    <w:multiLevelType w:val="multilevel"/>
    <w:tmpl w:val="16621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905990"/>
    <w:multiLevelType w:val="multilevel"/>
    <w:tmpl w:val="7D465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3A47D0"/>
    <w:multiLevelType w:val="multilevel"/>
    <w:tmpl w:val="85581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0A7F1B"/>
    <w:multiLevelType w:val="multilevel"/>
    <w:tmpl w:val="E9B0B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F07BAA"/>
    <w:multiLevelType w:val="multilevel"/>
    <w:tmpl w:val="F3F48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8596498">
    <w:abstractNumId w:val="7"/>
  </w:num>
  <w:num w:numId="2" w16cid:durableId="508836779">
    <w:abstractNumId w:val="9"/>
  </w:num>
  <w:num w:numId="3" w16cid:durableId="1472924">
    <w:abstractNumId w:val="5"/>
  </w:num>
  <w:num w:numId="4" w16cid:durableId="940333456">
    <w:abstractNumId w:val="0"/>
  </w:num>
  <w:num w:numId="5" w16cid:durableId="543181183">
    <w:abstractNumId w:val="3"/>
  </w:num>
  <w:num w:numId="6" w16cid:durableId="622272216">
    <w:abstractNumId w:val="8"/>
  </w:num>
  <w:num w:numId="7" w16cid:durableId="1011760025">
    <w:abstractNumId w:val="10"/>
  </w:num>
  <w:num w:numId="8" w16cid:durableId="2019505273">
    <w:abstractNumId w:val="2"/>
  </w:num>
  <w:num w:numId="9" w16cid:durableId="1343047561">
    <w:abstractNumId w:val="4"/>
  </w:num>
  <w:num w:numId="10" w16cid:durableId="175193913">
    <w:abstractNumId w:val="6"/>
  </w:num>
  <w:num w:numId="11" w16cid:durableId="1736276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9D7"/>
    <w:rsid w:val="00023987"/>
    <w:rsid w:val="00035155"/>
    <w:rsid w:val="00045DB2"/>
    <w:rsid w:val="00063723"/>
    <w:rsid w:val="00065283"/>
    <w:rsid w:val="00067858"/>
    <w:rsid w:val="00070973"/>
    <w:rsid w:val="00074D0D"/>
    <w:rsid w:val="000868BA"/>
    <w:rsid w:val="000879A6"/>
    <w:rsid w:val="00087BD6"/>
    <w:rsid w:val="00091C49"/>
    <w:rsid w:val="0009261E"/>
    <w:rsid w:val="000954E9"/>
    <w:rsid w:val="000A0989"/>
    <w:rsid w:val="000A2A84"/>
    <w:rsid w:val="000A67BB"/>
    <w:rsid w:val="000A7061"/>
    <w:rsid w:val="000B2B54"/>
    <w:rsid w:val="000B3B51"/>
    <w:rsid w:val="000B7E44"/>
    <w:rsid w:val="000C39A4"/>
    <w:rsid w:val="000C6DBE"/>
    <w:rsid w:val="000D1293"/>
    <w:rsid w:val="000E20D2"/>
    <w:rsid w:val="000E4BA8"/>
    <w:rsid w:val="00100F21"/>
    <w:rsid w:val="00106DB3"/>
    <w:rsid w:val="0012488E"/>
    <w:rsid w:val="00125699"/>
    <w:rsid w:val="00134416"/>
    <w:rsid w:val="00135BD9"/>
    <w:rsid w:val="00136FAD"/>
    <w:rsid w:val="00137B47"/>
    <w:rsid w:val="001513BA"/>
    <w:rsid w:val="0015175A"/>
    <w:rsid w:val="00151BFD"/>
    <w:rsid w:val="0015537B"/>
    <w:rsid w:val="00156B79"/>
    <w:rsid w:val="00163D19"/>
    <w:rsid w:val="00165073"/>
    <w:rsid w:val="0016507A"/>
    <w:rsid w:val="001662A6"/>
    <w:rsid w:val="00171A03"/>
    <w:rsid w:val="001825DF"/>
    <w:rsid w:val="00183351"/>
    <w:rsid w:val="001879C3"/>
    <w:rsid w:val="001909A4"/>
    <w:rsid w:val="00190F2D"/>
    <w:rsid w:val="001941DD"/>
    <w:rsid w:val="001972EC"/>
    <w:rsid w:val="001B2BCB"/>
    <w:rsid w:val="001B5411"/>
    <w:rsid w:val="001B6074"/>
    <w:rsid w:val="001C16C3"/>
    <w:rsid w:val="001D0955"/>
    <w:rsid w:val="001D26D3"/>
    <w:rsid w:val="001D4C3F"/>
    <w:rsid w:val="001D7C5F"/>
    <w:rsid w:val="001E17C4"/>
    <w:rsid w:val="001F23D3"/>
    <w:rsid w:val="001F7D9B"/>
    <w:rsid w:val="00200B9B"/>
    <w:rsid w:val="00204FBF"/>
    <w:rsid w:val="0021393D"/>
    <w:rsid w:val="00236DB9"/>
    <w:rsid w:val="00256B42"/>
    <w:rsid w:val="002604FD"/>
    <w:rsid w:val="00260B7E"/>
    <w:rsid w:val="002770FC"/>
    <w:rsid w:val="00284656"/>
    <w:rsid w:val="0028627A"/>
    <w:rsid w:val="002A07F6"/>
    <w:rsid w:val="002A2586"/>
    <w:rsid w:val="002A4210"/>
    <w:rsid w:val="002D6BC3"/>
    <w:rsid w:val="002E4F45"/>
    <w:rsid w:val="002F0731"/>
    <w:rsid w:val="00301F43"/>
    <w:rsid w:val="00303C4E"/>
    <w:rsid w:val="003042C4"/>
    <w:rsid w:val="003066B3"/>
    <w:rsid w:val="00314327"/>
    <w:rsid w:val="00315B59"/>
    <w:rsid w:val="00317207"/>
    <w:rsid w:val="0032399B"/>
    <w:rsid w:val="00324F15"/>
    <w:rsid w:val="0033537A"/>
    <w:rsid w:val="00343F78"/>
    <w:rsid w:val="003464BD"/>
    <w:rsid w:val="003529F5"/>
    <w:rsid w:val="003573EF"/>
    <w:rsid w:val="00362C14"/>
    <w:rsid w:val="00365D07"/>
    <w:rsid w:val="0037075E"/>
    <w:rsid w:val="00383994"/>
    <w:rsid w:val="00383C62"/>
    <w:rsid w:val="003B039A"/>
    <w:rsid w:val="003B174D"/>
    <w:rsid w:val="003B5874"/>
    <w:rsid w:val="003C51DD"/>
    <w:rsid w:val="003C6B50"/>
    <w:rsid w:val="003D61F4"/>
    <w:rsid w:val="003E3280"/>
    <w:rsid w:val="003E6E74"/>
    <w:rsid w:val="003F4FA5"/>
    <w:rsid w:val="003F7116"/>
    <w:rsid w:val="0040288A"/>
    <w:rsid w:val="00406D92"/>
    <w:rsid w:val="0040737D"/>
    <w:rsid w:val="004142DD"/>
    <w:rsid w:val="004148EB"/>
    <w:rsid w:val="00415E49"/>
    <w:rsid w:val="00427564"/>
    <w:rsid w:val="0043129B"/>
    <w:rsid w:val="004463DE"/>
    <w:rsid w:val="00447BDF"/>
    <w:rsid w:val="00466245"/>
    <w:rsid w:val="00466AB6"/>
    <w:rsid w:val="004750F4"/>
    <w:rsid w:val="00483EF1"/>
    <w:rsid w:val="00485492"/>
    <w:rsid w:val="004956E2"/>
    <w:rsid w:val="004A4D99"/>
    <w:rsid w:val="004A59FD"/>
    <w:rsid w:val="004C0509"/>
    <w:rsid w:val="004C4253"/>
    <w:rsid w:val="004C74D1"/>
    <w:rsid w:val="004C794E"/>
    <w:rsid w:val="004D5015"/>
    <w:rsid w:val="004D78F5"/>
    <w:rsid w:val="004F444F"/>
    <w:rsid w:val="004F4D03"/>
    <w:rsid w:val="00504D5A"/>
    <w:rsid w:val="00506D63"/>
    <w:rsid w:val="00511135"/>
    <w:rsid w:val="00515DBA"/>
    <w:rsid w:val="00523332"/>
    <w:rsid w:val="00527E08"/>
    <w:rsid w:val="00533C28"/>
    <w:rsid w:val="00540FDA"/>
    <w:rsid w:val="005441C2"/>
    <w:rsid w:val="0055263A"/>
    <w:rsid w:val="00552DB7"/>
    <w:rsid w:val="00566C2D"/>
    <w:rsid w:val="00574B2A"/>
    <w:rsid w:val="00581E6B"/>
    <w:rsid w:val="00587CF9"/>
    <w:rsid w:val="00590D2C"/>
    <w:rsid w:val="00593928"/>
    <w:rsid w:val="005A3543"/>
    <w:rsid w:val="005B09FE"/>
    <w:rsid w:val="005C48DB"/>
    <w:rsid w:val="005E5D66"/>
    <w:rsid w:val="005F0586"/>
    <w:rsid w:val="00606C23"/>
    <w:rsid w:val="006075B3"/>
    <w:rsid w:val="006154FB"/>
    <w:rsid w:val="00621241"/>
    <w:rsid w:val="0062280B"/>
    <w:rsid w:val="006415E1"/>
    <w:rsid w:val="00641B21"/>
    <w:rsid w:val="00642793"/>
    <w:rsid w:val="00642DAC"/>
    <w:rsid w:val="0065613F"/>
    <w:rsid w:val="006617C1"/>
    <w:rsid w:val="00672F93"/>
    <w:rsid w:val="0067651E"/>
    <w:rsid w:val="00681389"/>
    <w:rsid w:val="00685B28"/>
    <w:rsid w:val="00691F32"/>
    <w:rsid w:val="006A35CF"/>
    <w:rsid w:val="006A5B03"/>
    <w:rsid w:val="006A73F5"/>
    <w:rsid w:val="006A77BB"/>
    <w:rsid w:val="006B34B7"/>
    <w:rsid w:val="006B632D"/>
    <w:rsid w:val="006B76D3"/>
    <w:rsid w:val="006C22C8"/>
    <w:rsid w:val="006C5B2F"/>
    <w:rsid w:val="006C67CB"/>
    <w:rsid w:val="006D08EB"/>
    <w:rsid w:val="006D76D6"/>
    <w:rsid w:val="006E2866"/>
    <w:rsid w:val="006E5CA7"/>
    <w:rsid w:val="007026BE"/>
    <w:rsid w:val="00707BFF"/>
    <w:rsid w:val="0071324B"/>
    <w:rsid w:val="0071401C"/>
    <w:rsid w:val="007245B1"/>
    <w:rsid w:val="00731D56"/>
    <w:rsid w:val="007467C4"/>
    <w:rsid w:val="007574FD"/>
    <w:rsid w:val="007635AA"/>
    <w:rsid w:val="0078071D"/>
    <w:rsid w:val="007824C6"/>
    <w:rsid w:val="00785728"/>
    <w:rsid w:val="007A0F7B"/>
    <w:rsid w:val="007B6506"/>
    <w:rsid w:val="007C5339"/>
    <w:rsid w:val="007C5BDD"/>
    <w:rsid w:val="007D35CB"/>
    <w:rsid w:val="007E53A2"/>
    <w:rsid w:val="007F2092"/>
    <w:rsid w:val="008077D8"/>
    <w:rsid w:val="00812C01"/>
    <w:rsid w:val="008230AD"/>
    <w:rsid w:val="00826BEA"/>
    <w:rsid w:val="00831A21"/>
    <w:rsid w:val="0085168A"/>
    <w:rsid w:val="008550C0"/>
    <w:rsid w:val="0085511C"/>
    <w:rsid w:val="00860AC7"/>
    <w:rsid w:val="0086164C"/>
    <w:rsid w:val="00874719"/>
    <w:rsid w:val="00876DD2"/>
    <w:rsid w:val="0087798D"/>
    <w:rsid w:val="00880A64"/>
    <w:rsid w:val="00895DF6"/>
    <w:rsid w:val="00897D81"/>
    <w:rsid w:val="008B1E01"/>
    <w:rsid w:val="008B228E"/>
    <w:rsid w:val="008C153D"/>
    <w:rsid w:val="008C181C"/>
    <w:rsid w:val="008C6040"/>
    <w:rsid w:val="008C65BB"/>
    <w:rsid w:val="008D0D81"/>
    <w:rsid w:val="008D28CA"/>
    <w:rsid w:val="008D33BB"/>
    <w:rsid w:val="008D3FD0"/>
    <w:rsid w:val="008D58AF"/>
    <w:rsid w:val="008F09BA"/>
    <w:rsid w:val="009261B7"/>
    <w:rsid w:val="00930F1B"/>
    <w:rsid w:val="009328CE"/>
    <w:rsid w:val="00952F22"/>
    <w:rsid w:val="00955809"/>
    <w:rsid w:val="00963B72"/>
    <w:rsid w:val="009657E7"/>
    <w:rsid w:val="009745C7"/>
    <w:rsid w:val="009764BE"/>
    <w:rsid w:val="00994681"/>
    <w:rsid w:val="0099522B"/>
    <w:rsid w:val="009A14D0"/>
    <w:rsid w:val="009A364B"/>
    <w:rsid w:val="009A4107"/>
    <w:rsid w:val="009B78E5"/>
    <w:rsid w:val="009B7B9F"/>
    <w:rsid w:val="009B7BEB"/>
    <w:rsid w:val="009C4F08"/>
    <w:rsid w:val="009C6A25"/>
    <w:rsid w:val="009D1F0C"/>
    <w:rsid w:val="009E2CD1"/>
    <w:rsid w:val="009E33D5"/>
    <w:rsid w:val="009E5794"/>
    <w:rsid w:val="00A03C1A"/>
    <w:rsid w:val="00A05E20"/>
    <w:rsid w:val="00A1087E"/>
    <w:rsid w:val="00A143C5"/>
    <w:rsid w:val="00A2091E"/>
    <w:rsid w:val="00A21C33"/>
    <w:rsid w:val="00A425E8"/>
    <w:rsid w:val="00A44A68"/>
    <w:rsid w:val="00A46E8A"/>
    <w:rsid w:val="00A47024"/>
    <w:rsid w:val="00A47961"/>
    <w:rsid w:val="00A55155"/>
    <w:rsid w:val="00A60DB9"/>
    <w:rsid w:val="00A70E9C"/>
    <w:rsid w:val="00A74438"/>
    <w:rsid w:val="00A87BE9"/>
    <w:rsid w:val="00A94124"/>
    <w:rsid w:val="00AA29AC"/>
    <w:rsid w:val="00AB5827"/>
    <w:rsid w:val="00AD02E2"/>
    <w:rsid w:val="00AF4413"/>
    <w:rsid w:val="00AF6483"/>
    <w:rsid w:val="00B049FA"/>
    <w:rsid w:val="00B06B7E"/>
    <w:rsid w:val="00B100F7"/>
    <w:rsid w:val="00B113F7"/>
    <w:rsid w:val="00B15052"/>
    <w:rsid w:val="00B16CC1"/>
    <w:rsid w:val="00B25847"/>
    <w:rsid w:val="00B26EBD"/>
    <w:rsid w:val="00B26F67"/>
    <w:rsid w:val="00B508A4"/>
    <w:rsid w:val="00B76830"/>
    <w:rsid w:val="00B81896"/>
    <w:rsid w:val="00B85E82"/>
    <w:rsid w:val="00B932A1"/>
    <w:rsid w:val="00BA78AD"/>
    <w:rsid w:val="00BA7B90"/>
    <w:rsid w:val="00BB08AC"/>
    <w:rsid w:val="00BE452D"/>
    <w:rsid w:val="00BE62CE"/>
    <w:rsid w:val="00BE70D1"/>
    <w:rsid w:val="00BE72C5"/>
    <w:rsid w:val="00BF08FB"/>
    <w:rsid w:val="00C003A4"/>
    <w:rsid w:val="00C138B2"/>
    <w:rsid w:val="00C309CA"/>
    <w:rsid w:val="00C31A2D"/>
    <w:rsid w:val="00C43CC4"/>
    <w:rsid w:val="00C51A95"/>
    <w:rsid w:val="00C53517"/>
    <w:rsid w:val="00C60DFB"/>
    <w:rsid w:val="00C64583"/>
    <w:rsid w:val="00C65516"/>
    <w:rsid w:val="00C72887"/>
    <w:rsid w:val="00C734B5"/>
    <w:rsid w:val="00C84F55"/>
    <w:rsid w:val="00C859D7"/>
    <w:rsid w:val="00C93706"/>
    <w:rsid w:val="00CB46C2"/>
    <w:rsid w:val="00CB4E45"/>
    <w:rsid w:val="00CC6E90"/>
    <w:rsid w:val="00CD16C1"/>
    <w:rsid w:val="00CD39D8"/>
    <w:rsid w:val="00CD78C5"/>
    <w:rsid w:val="00CE2998"/>
    <w:rsid w:val="00D063C5"/>
    <w:rsid w:val="00D11627"/>
    <w:rsid w:val="00D17A84"/>
    <w:rsid w:val="00D237DA"/>
    <w:rsid w:val="00D27446"/>
    <w:rsid w:val="00D35469"/>
    <w:rsid w:val="00D40D5E"/>
    <w:rsid w:val="00D54216"/>
    <w:rsid w:val="00D70E09"/>
    <w:rsid w:val="00D8308D"/>
    <w:rsid w:val="00DA5975"/>
    <w:rsid w:val="00DC4110"/>
    <w:rsid w:val="00DC715D"/>
    <w:rsid w:val="00DE0478"/>
    <w:rsid w:val="00DE0C58"/>
    <w:rsid w:val="00DE1738"/>
    <w:rsid w:val="00DE2986"/>
    <w:rsid w:val="00DE2A2E"/>
    <w:rsid w:val="00E110AF"/>
    <w:rsid w:val="00E22A8C"/>
    <w:rsid w:val="00E24953"/>
    <w:rsid w:val="00E26D8C"/>
    <w:rsid w:val="00E52ACF"/>
    <w:rsid w:val="00E56EE0"/>
    <w:rsid w:val="00E612E5"/>
    <w:rsid w:val="00E61E33"/>
    <w:rsid w:val="00E93055"/>
    <w:rsid w:val="00E956EA"/>
    <w:rsid w:val="00EB1382"/>
    <w:rsid w:val="00EB3FA7"/>
    <w:rsid w:val="00EB5118"/>
    <w:rsid w:val="00EB6272"/>
    <w:rsid w:val="00EB65A4"/>
    <w:rsid w:val="00EC0D3F"/>
    <w:rsid w:val="00EC39F7"/>
    <w:rsid w:val="00ED5776"/>
    <w:rsid w:val="00EE151A"/>
    <w:rsid w:val="00EE2BE1"/>
    <w:rsid w:val="00EE36E9"/>
    <w:rsid w:val="00EE683F"/>
    <w:rsid w:val="00EF449E"/>
    <w:rsid w:val="00F01499"/>
    <w:rsid w:val="00F01FD9"/>
    <w:rsid w:val="00F067BC"/>
    <w:rsid w:val="00F07BB1"/>
    <w:rsid w:val="00F1229C"/>
    <w:rsid w:val="00F146FF"/>
    <w:rsid w:val="00F203D3"/>
    <w:rsid w:val="00F3004C"/>
    <w:rsid w:val="00F350A1"/>
    <w:rsid w:val="00F443F4"/>
    <w:rsid w:val="00F51F27"/>
    <w:rsid w:val="00F55674"/>
    <w:rsid w:val="00F72107"/>
    <w:rsid w:val="00F7596A"/>
    <w:rsid w:val="00F810ED"/>
    <w:rsid w:val="00F8396E"/>
    <w:rsid w:val="00F905CD"/>
    <w:rsid w:val="00F911A1"/>
    <w:rsid w:val="00FA15B4"/>
    <w:rsid w:val="00FA3441"/>
    <w:rsid w:val="00FA6652"/>
    <w:rsid w:val="00FB0794"/>
    <w:rsid w:val="00FB2022"/>
    <w:rsid w:val="00FC255B"/>
    <w:rsid w:val="00FC43A8"/>
    <w:rsid w:val="00FD4C06"/>
    <w:rsid w:val="00FE6EEF"/>
    <w:rsid w:val="00FF1286"/>
    <w:rsid w:val="00FF2061"/>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206762"/>
  <w15:chartTrackingRefBased/>
  <w15:docId w15:val="{03038F49-8EC9-4D49-8D64-C8CEAAB6B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9D7"/>
  </w:style>
  <w:style w:type="paragraph" w:styleId="Ttulo1">
    <w:name w:val="heading 1"/>
    <w:basedOn w:val="Normal"/>
    <w:next w:val="Normal"/>
    <w:link w:val="Ttulo1Car"/>
    <w:uiPriority w:val="9"/>
    <w:qFormat/>
    <w:rsid w:val="00C859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C859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C859D7"/>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C859D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C859D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C859D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859D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859D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859D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859D7"/>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C859D7"/>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C859D7"/>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C859D7"/>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C859D7"/>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C859D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859D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859D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859D7"/>
    <w:rPr>
      <w:rFonts w:eastAsiaTheme="majorEastAsia" w:cstheme="majorBidi"/>
      <w:color w:val="272727" w:themeColor="text1" w:themeTint="D8"/>
    </w:rPr>
  </w:style>
  <w:style w:type="paragraph" w:styleId="Ttulo">
    <w:name w:val="Title"/>
    <w:basedOn w:val="Normal"/>
    <w:next w:val="Normal"/>
    <w:link w:val="TtuloCar"/>
    <w:qFormat/>
    <w:rsid w:val="00C859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C859D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859D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859D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859D7"/>
    <w:pPr>
      <w:spacing w:before="160"/>
      <w:jc w:val="center"/>
    </w:pPr>
    <w:rPr>
      <w:i/>
      <w:iCs/>
      <w:color w:val="404040" w:themeColor="text1" w:themeTint="BF"/>
    </w:rPr>
  </w:style>
  <w:style w:type="character" w:customStyle="1" w:styleId="CitaCar">
    <w:name w:val="Cita Car"/>
    <w:basedOn w:val="Fuentedeprrafopredeter"/>
    <w:link w:val="Cita"/>
    <w:uiPriority w:val="29"/>
    <w:rsid w:val="00C859D7"/>
    <w:rPr>
      <w:i/>
      <w:iCs/>
      <w:color w:val="404040" w:themeColor="text1" w:themeTint="BF"/>
    </w:rPr>
  </w:style>
  <w:style w:type="paragraph" w:styleId="Prrafodelista">
    <w:name w:val="List Paragraph"/>
    <w:basedOn w:val="Normal"/>
    <w:uiPriority w:val="34"/>
    <w:qFormat/>
    <w:rsid w:val="00C859D7"/>
    <w:pPr>
      <w:ind w:left="720"/>
      <w:contextualSpacing/>
    </w:pPr>
  </w:style>
  <w:style w:type="character" w:styleId="nfasisintenso">
    <w:name w:val="Intense Emphasis"/>
    <w:basedOn w:val="Fuentedeprrafopredeter"/>
    <w:uiPriority w:val="21"/>
    <w:qFormat/>
    <w:rsid w:val="00C859D7"/>
    <w:rPr>
      <w:i/>
      <w:iCs/>
      <w:color w:val="2F5496" w:themeColor="accent1" w:themeShade="BF"/>
    </w:rPr>
  </w:style>
  <w:style w:type="paragraph" w:styleId="Citadestacada">
    <w:name w:val="Intense Quote"/>
    <w:basedOn w:val="Normal"/>
    <w:next w:val="Normal"/>
    <w:link w:val="CitadestacadaCar"/>
    <w:uiPriority w:val="30"/>
    <w:qFormat/>
    <w:rsid w:val="00C859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C859D7"/>
    <w:rPr>
      <w:i/>
      <w:iCs/>
      <w:color w:val="2F5496" w:themeColor="accent1" w:themeShade="BF"/>
    </w:rPr>
  </w:style>
  <w:style w:type="character" w:styleId="Referenciaintensa">
    <w:name w:val="Intense Reference"/>
    <w:basedOn w:val="Fuentedeprrafopredeter"/>
    <w:uiPriority w:val="32"/>
    <w:qFormat/>
    <w:rsid w:val="00C859D7"/>
    <w:rPr>
      <w:b/>
      <w:bCs/>
      <w:smallCaps/>
      <w:color w:val="2F5496" w:themeColor="accent1" w:themeShade="BF"/>
      <w:spacing w:val="5"/>
    </w:rPr>
  </w:style>
  <w:style w:type="character" w:styleId="Hipervnculo">
    <w:name w:val="Hyperlink"/>
    <w:basedOn w:val="Fuentedeprrafopredeter"/>
    <w:uiPriority w:val="99"/>
    <w:unhideWhenUsed/>
    <w:rsid w:val="00C859D7"/>
    <w:rPr>
      <w:color w:val="0563C1" w:themeColor="hyperlink"/>
      <w:u w:val="single"/>
    </w:rPr>
  </w:style>
  <w:style w:type="paragraph" w:styleId="NormalWeb">
    <w:name w:val="Normal (Web)"/>
    <w:basedOn w:val="Normal"/>
    <w:uiPriority w:val="99"/>
    <w:unhideWhenUsed/>
    <w:rsid w:val="00C859D7"/>
    <w:pPr>
      <w:spacing w:before="100" w:beforeAutospacing="1" w:after="100" w:afterAutospacing="1" w:line="240" w:lineRule="auto"/>
    </w:pPr>
    <w:rPr>
      <w:rFonts w:ascii="Times New Roman" w:eastAsiaTheme="minorEastAsia" w:hAnsi="Times New Roman" w:cs="Times New Roman"/>
      <w:kern w:val="0"/>
      <w:sz w:val="24"/>
      <w:szCs w:val="24"/>
      <w:lang w:eastAsia="es-ES"/>
      <w14:ligatures w14:val="none"/>
    </w:rPr>
  </w:style>
  <w:style w:type="character" w:styleId="Fuerte">
    <w:name w:val="Strong"/>
    <w:basedOn w:val="Fuentedeprrafopredeter"/>
    <w:uiPriority w:val="22"/>
    <w:qFormat/>
    <w:rsid w:val="00C859D7"/>
    <w:rPr>
      <w:b/>
      <w:bCs/>
    </w:rPr>
  </w:style>
  <w:style w:type="paragraph" w:styleId="Encabezado">
    <w:name w:val="header"/>
    <w:basedOn w:val="Normal"/>
    <w:link w:val="EncabezadoCar"/>
    <w:rsid w:val="00BB08AC"/>
    <w:pPr>
      <w:tabs>
        <w:tab w:val="center" w:pos="4252"/>
        <w:tab w:val="right" w:pos="8504"/>
      </w:tabs>
      <w:spacing w:after="0" w:line="240" w:lineRule="auto"/>
    </w:pPr>
    <w:rPr>
      <w:rFonts w:ascii="Times New Roman" w:eastAsia="Times New Roman" w:hAnsi="Times New Roman" w:cs="Times New Roman"/>
      <w:kern w:val="0"/>
      <w:sz w:val="24"/>
      <w:szCs w:val="24"/>
      <w:lang w:eastAsia="es-ES"/>
      <w14:ligatures w14:val="none"/>
    </w:rPr>
  </w:style>
  <w:style w:type="character" w:customStyle="1" w:styleId="EncabezadoCar">
    <w:name w:val="Encabezado Car"/>
    <w:basedOn w:val="Fuentedeprrafopredeter"/>
    <w:link w:val="Encabezado"/>
    <w:rsid w:val="00BB08AC"/>
    <w:rPr>
      <w:rFonts w:ascii="Times New Roman" w:eastAsia="Times New Roman" w:hAnsi="Times New Roman" w:cs="Times New Roman"/>
      <w:kern w:val="0"/>
      <w:sz w:val="24"/>
      <w:szCs w:val="24"/>
      <w:lang w:eastAsia="es-ES"/>
      <w14:ligatures w14:val="none"/>
    </w:rPr>
  </w:style>
  <w:style w:type="paragraph" w:styleId="Piedepgina">
    <w:name w:val="footer"/>
    <w:basedOn w:val="Normal"/>
    <w:link w:val="PiedepginaCar"/>
    <w:uiPriority w:val="99"/>
    <w:unhideWhenUsed/>
    <w:rsid w:val="003E328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E3280"/>
  </w:style>
  <w:style w:type="paragraph" w:styleId="Revisin">
    <w:name w:val="Revision"/>
    <w:hidden/>
    <w:uiPriority w:val="99"/>
    <w:semiHidden/>
    <w:rsid w:val="00F300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06c3c49-9f20-41ed-96e7-dbe41628579a">
      <Terms xmlns="http://schemas.microsoft.com/office/infopath/2007/PartnerControls"/>
    </lcf76f155ced4ddcb4097134ff3c332f>
    <TaxCatchAll xmlns="ad3d6386-bc0e-491c-aaea-87937147045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BE75A6B704DE43B3C6BD52F0DFA30D" ma:contentTypeVersion="12" ma:contentTypeDescription="Create a new document." ma:contentTypeScope="" ma:versionID="81e8ff3b09210316fe1c0edc98d22c07">
  <xsd:schema xmlns:xsd="http://www.w3.org/2001/XMLSchema" xmlns:xs="http://www.w3.org/2001/XMLSchema" xmlns:p="http://schemas.microsoft.com/office/2006/metadata/properties" xmlns:ns2="a06c3c49-9f20-41ed-96e7-dbe41628579a" xmlns:ns3="ad3d6386-bc0e-491c-aaea-87937147045f" targetNamespace="http://schemas.microsoft.com/office/2006/metadata/properties" ma:root="true" ma:fieldsID="dd6e7ed2e837b7c7a845eb8bca96df84" ns2:_="" ns3:_="">
    <xsd:import namespace="a06c3c49-9f20-41ed-96e7-dbe41628579a"/>
    <xsd:import namespace="ad3d6386-bc0e-491c-aaea-8793714704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6c3c49-9f20-41ed-96e7-dbe4162857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80e8668-2b83-4dc3-9a45-1c0d239e176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3d6386-bc0e-491c-aaea-87937147045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7ba5f43-716c-4547-8e5d-cf073550006f}" ma:internalName="TaxCatchAll" ma:showField="CatchAllData" ma:web="ad3d6386-bc0e-491c-aaea-8793714704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15E72D-2555-4482-8F6F-60F854626B63}">
  <ds:schemaRefs>
    <ds:schemaRef ds:uri="http://schemas.microsoft.com/sharepoint/v3/contenttype/forms"/>
  </ds:schemaRefs>
</ds:datastoreItem>
</file>

<file path=customXml/itemProps2.xml><?xml version="1.0" encoding="utf-8"?>
<ds:datastoreItem xmlns:ds="http://schemas.openxmlformats.org/officeDocument/2006/customXml" ds:itemID="{F53934F7-5283-4A04-9936-263AA6E01CB0}">
  <ds:schemaRefs>
    <ds:schemaRef ds:uri="http://schemas.microsoft.com/office/2006/metadata/properties"/>
    <ds:schemaRef ds:uri="http://schemas.microsoft.com/office/infopath/2007/PartnerControls"/>
    <ds:schemaRef ds:uri="a06c3c49-9f20-41ed-96e7-dbe41628579a"/>
    <ds:schemaRef ds:uri="ad3d6386-bc0e-491c-aaea-87937147045f"/>
  </ds:schemaRefs>
</ds:datastoreItem>
</file>

<file path=customXml/itemProps3.xml><?xml version="1.0" encoding="utf-8"?>
<ds:datastoreItem xmlns:ds="http://schemas.openxmlformats.org/officeDocument/2006/customXml" ds:itemID="{BB82EF0F-9D41-423C-89E1-6B7A9D13F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6c3c49-9f20-41ed-96e7-dbe41628579a"/>
    <ds:schemaRef ds:uri="ad3d6386-bc0e-491c-aaea-8793714704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dfaefe1-753e-4ef8-b700-def26fcd8990}" enabled="0" method="" siteId="{8dfaefe1-753e-4ef8-b700-def26fcd899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12</Pages>
  <Words>3085</Words>
  <Characters>16972</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CAF</Company>
  <LinksUpToDate>false</LinksUpToDate>
  <CharactersWithSpaces>20017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JOANA Azketa</dc:creator>
  <cp:keywords/>
  <dc:description/>
  <cp:lastModifiedBy>AINHOA Lizarralde</cp:lastModifiedBy>
  <cp:revision>100</cp:revision>
  <cp:lastPrinted>2026-05-28T08:40:00Z</cp:lastPrinted>
  <dcterms:created xsi:type="dcterms:W3CDTF">2026-03-26T20:37:00Z</dcterms:created>
  <dcterms:modified xsi:type="dcterms:W3CDTF">2026-06-12T09:01:00Z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0x01010069BE75A6B704DE43B3C6BD52F0DFA30D</vt:lpwstr>
  </property>
  <property fmtid="{D5CDD505-2E9C-101B-9397-08002B2CF9AE}" pid="3" name="MediaServiceImageTags">
    <vt:lpwstr/>
  </property>
</Properties>
</file>