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08C9" w14:textId="77777777" w:rsidR="003F655F" w:rsidRPr="00FA13E5" w:rsidRDefault="003F655F">
      <w:pPr>
        <w:pStyle w:val="Textoindependiente"/>
        <w:ind w:left="0"/>
        <w:jc w:val="left"/>
        <w:rPr>
          <w:rFonts w:ascii="Times New Roman"/>
          <w:sz w:val="20"/>
        </w:rPr>
      </w:pPr>
    </w:p>
    <w:p w14:paraId="4586E548" w14:textId="77777777" w:rsidR="003F655F" w:rsidRPr="00FA13E5" w:rsidRDefault="003F655F">
      <w:pPr>
        <w:pStyle w:val="Textoindependiente"/>
        <w:spacing w:before="1"/>
        <w:ind w:left="0"/>
        <w:jc w:val="left"/>
        <w:rPr>
          <w:rFonts w:ascii="Times New Roman"/>
          <w:sz w:val="26"/>
        </w:rPr>
      </w:pPr>
    </w:p>
    <w:p w14:paraId="6316C1F6" w14:textId="77777777" w:rsidR="003F655F" w:rsidRPr="00FA13E5" w:rsidRDefault="00FA13E5" w:rsidP="00850EBB">
      <w:pPr>
        <w:spacing w:before="92" w:line="362" w:lineRule="auto"/>
        <w:ind w:left="1418" w:right="2067" w:firstLine="124"/>
        <w:jc w:val="center"/>
        <w:rPr>
          <w:b/>
          <w:sz w:val="24"/>
        </w:rPr>
      </w:pPr>
      <w:r>
        <w:rPr>
          <w:b/>
          <w:sz w:val="24"/>
          <w:u w:val="single"/>
        </w:rPr>
        <w:t>GENERAL SHAREHOLDERS’ MEETING</w:t>
      </w:r>
      <w:r>
        <w:rPr>
          <w:b/>
          <w:sz w:val="24"/>
        </w:rPr>
        <w:t xml:space="preserve"> </w:t>
      </w:r>
      <w:r>
        <w:rPr>
          <w:b/>
          <w:sz w:val="24"/>
          <w:u w:val="single"/>
        </w:rPr>
        <w:t>HELD ON 13 JUNE 2026</w:t>
      </w:r>
    </w:p>
    <w:p w14:paraId="7B1BED27" w14:textId="77777777" w:rsidR="003F655F" w:rsidRPr="00FA13E5" w:rsidRDefault="003F655F">
      <w:pPr>
        <w:pStyle w:val="Textoindependiente"/>
        <w:spacing w:before="5"/>
        <w:ind w:left="0"/>
        <w:jc w:val="left"/>
        <w:rPr>
          <w:b/>
          <w:sz w:val="28"/>
        </w:rPr>
      </w:pPr>
    </w:p>
    <w:p w14:paraId="7965FBDB" w14:textId="77777777" w:rsidR="003F655F" w:rsidRPr="00FA13E5" w:rsidRDefault="00FA13E5">
      <w:pPr>
        <w:spacing w:before="93"/>
        <w:ind w:left="272"/>
        <w:rPr>
          <w:b/>
          <w:sz w:val="24"/>
        </w:rPr>
      </w:pPr>
      <w:r>
        <w:rPr>
          <w:b/>
          <w:sz w:val="24"/>
          <w:u w:val="single"/>
        </w:rPr>
        <w:t>SPEECH BY THE CHAIRMAN, MR ANDRES ARIZKORRETA GARCIA</w:t>
      </w:r>
    </w:p>
    <w:p w14:paraId="587C0927" w14:textId="77777777" w:rsidR="003F655F" w:rsidRPr="00FA13E5" w:rsidRDefault="003F655F">
      <w:pPr>
        <w:pStyle w:val="Textoindependiente"/>
        <w:ind w:left="0"/>
        <w:jc w:val="left"/>
        <w:rPr>
          <w:b/>
          <w:sz w:val="20"/>
        </w:rPr>
      </w:pPr>
    </w:p>
    <w:p w14:paraId="2977FC1B" w14:textId="77777777" w:rsidR="003F655F" w:rsidRPr="00FA13E5" w:rsidRDefault="003F655F">
      <w:pPr>
        <w:pStyle w:val="Textoindependiente"/>
        <w:spacing w:before="7"/>
        <w:ind w:left="0"/>
        <w:jc w:val="left"/>
        <w:rPr>
          <w:b/>
          <w:sz w:val="20"/>
        </w:rPr>
      </w:pPr>
    </w:p>
    <w:p w14:paraId="7B0F509A" w14:textId="77777777" w:rsidR="003F655F" w:rsidRPr="00FA13E5" w:rsidRDefault="00FA13E5">
      <w:pPr>
        <w:pStyle w:val="Textoindependiente"/>
        <w:spacing w:before="92"/>
      </w:pPr>
      <w:r>
        <w:t>Dear shareholders, ladies and gentlemen,</w:t>
      </w:r>
    </w:p>
    <w:p w14:paraId="15941803" w14:textId="77777777" w:rsidR="003F655F" w:rsidRPr="00FA13E5" w:rsidRDefault="00FA13E5">
      <w:pPr>
        <w:pStyle w:val="Textoindependiente"/>
        <w:spacing w:before="142"/>
      </w:pPr>
      <w:r>
        <w:t>Once more, I would like to thank you for attending this 2026 General Shareholders’ Meeting.</w:t>
      </w:r>
    </w:p>
    <w:p w14:paraId="6D69EC80" w14:textId="77777777" w:rsidR="003F655F" w:rsidRPr="00FA13E5" w:rsidRDefault="00FA13E5">
      <w:pPr>
        <w:pStyle w:val="Textoindependiente"/>
        <w:spacing w:before="141" w:line="259" w:lineRule="auto"/>
        <w:ind w:right="114"/>
      </w:pPr>
      <w:r>
        <w:t xml:space="preserve">Firstly, in compliance with </w:t>
      </w:r>
      <w:r>
        <w:rPr>
          <w:b/>
        </w:rPr>
        <w:t xml:space="preserve">Recommendation 3 of the Good Governance Code </w:t>
      </w:r>
      <w:r>
        <w:t xml:space="preserve">for listed companies, it falls to me to provide you with a brief overview of the key actions undertaken by the Board of Directors, which I chair, in the areas of </w:t>
      </w:r>
      <w:r>
        <w:rPr>
          <w:b/>
        </w:rPr>
        <w:t xml:space="preserve">Corporate Governance </w:t>
      </w:r>
      <w:r>
        <w:t xml:space="preserve">and </w:t>
      </w:r>
      <w:r>
        <w:rPr>
          <w:b/>
        </w:rPr>
        <w:t>Compliance</w:t>
      </w:r>
      <w:r>
        <w:t>. In particular, I will highlight the changes that have occurred since our last General Shareholders' Meeting. This supplements the information already made available to you in the Annual Corporate Governance Report, the Directors’ Remuneration Report, the Committees’ Activity Reports, the Consolidated Non-Financial Information Statement, and the Sustainability Information Report.</w:t>
      </w:r>
    </w:p>
    <w:p w14:paraId="13A2DA4C" w14:textId="77777777" w:rsidR="003F655F" w:rsidRPr="00FA13E5" w:rsidRDefault="00FA13E5">
      <w:pPr>
        <w:pStyle w:val="Textoindependiente"/>
        <w:spacing w:before="119" w:line="259" w:lineRule="auto"/>
        <w:ind w:right="114"/>
      </w:pPr>
      <w:r>
        <w:t>Three of these reports form part of the proposals being put before you by the Board today. Specifically, the consolidated non-financial information report and sustainability information report are submitted for approval under agenda item three, while the directors’ remuneration report will be subject to an advisory vote under Agenda Item Eight. The Annual Corporate Governance Report is also included in the Management Report accompanying the Annual Financial Statements, which are submitted for your approval under Item One.</w:t>
      </w:r>
    </w:p>
    <w:p w14:paraId="699D4962" w14:textId="77777777" w:rsidR="003F655F" w:rsidRPr="00FA13E5" w:rsidRDefault="00FA13E5">
      <w:pPr>
        <w:pStyle w:val="Textoindependiente"/>
        <w:spacing w:before="119" w:line="259" w:lineRule="auto"/>
        <w:ind w:right="116"/>
      </w:pPr>
      <w:r>
        <w:t xml:space="preserve">Once </w:t>
      </w:r>
      <w:proofErr w:type="gramStart"/>
      <w:r>
        <w:t>again</w:t>
      </w:r>
      <w:proofErr w:type="gramEnd"/>
      <w:r>
        <w:t xml:space="preserve"> this year, the Board has maintained its commitment to ongoing improvement, both in terms of its composition and through the regular review of the company's corporate governance system to ensure it aligns with current regulations and best governance practices.</w:t>
      </w:r>
    </w:p>
    <w:p w14:paraId="52152225" w14:textId="77777777" w:rsidR="003F655F" w:rsidRPr="00FA13E5" w:rsidRDefault="00FA13E5">
      <w:pPr>
        <w:pStyle w:val="Textoindependiente"/>
        <w:spacing w:before="118" w:line="259" w:lineRule="auto"/>
        <w:ind w:right="112"/>
      </w:pPr>
      <w:r>
        <w:t xml:space="preserve">Accordingly, in light of the upcoming expiry of the current Remuneration Policy approved by the General Shareholders’ Meeting in 2024, and coinciding with the completion of the current Strategic Plan, the Board of Directors - following a proposal from the Appointments and Remuneration Committee - has initiated a review of the Directors’ remuneration framework. This process has resulted in the proposal for a </w:t>
      </w:r>
      <w:r>
        <w:rPr>
          <w:b/>
        </w:rPr>
        <w:t xml:space="preserve">new Remuneration Policy </w:t>
      </w:r>
      <w:r>
        <w:t>for financial years 2027, 2028 and 2029, which we are submitting today for your approval under Item Seven of the agenda.</w:t>
      </w:r>
    </w:p>
    <w:p w14:paraId="0FCBD4B7" w14:textId="77777777" w:rsidR="003F655F" w:rsidRPr="00FA13E5" w:rsidRDefault="00FA13E5">
      <w:pPr>
        <w:pStyle w:val="Textoindependiente"/>
        <w:spacing w:before="120" w:line="259" w:lineRule="auto"/>
        <w:ind w:right="116"/>
      </w:pPr>
      <w:r>
        <w:t>The new Remuneration Policy reflects market criteria and fully complies with the principles of moderation and prudence, while maintaining a remuneration model that is simple and verifiable. It is closely aligned with both the evolution of the Group’s strategic and organisational context and the remuneration practices among comparable listed companies.</w:t>
      </w:r>
    </w:p>
    <w:p w14:paraId="19AC19D8" w14:textId="77777777" w:rsidR="003F655F" w:rsidRPr="00FA13E5" w:rsidRDefault="003F655F">
      <w:pPr>
        <w:spacing w:line="259" w:lineRule="auto"/>
        <w:sectPr w:rsidR="003F655F" w:rsidRPr="00FA13E5">
          <w:headerReference w:type="default" r:id="rId6"/>
          <w:type w:val="continuous"/>
          <w:pgSz w:w="11910" w:h="16840"/>
          <w:pgMar w:top="1320" w:right="1580" w:bottom="280" w:left="1600" w:header="715" w:footer="0" w:gutter="0"/>
          <w:pgNumType w:start="1"/>
          <w:cols w:space="720"/>
        </w:sectPr>
      </w:pPr>
    </w:p>
    <w:p w14:paraId="7A683122" w14:textId="77777777" w:rsidR="003F655F" w:rsidRPr="00FA13E5" w:rsidRDefault="00FA13E5">
      <w:pPr>
        <w:pStyle w:val="Textoindependiente"/>
        <w:spacing w:before="82" w:line="259" w:lineRule="auto"/>
        <w:ind w:right="112"/>
      </w:pPr>
      <w:r>
        <w:lastRenderedPageBreak/>
        <w:t xml:space="preserve">Furthermore, careful consideration was given to stakeholder expectations when designing </w:t>
      </w:r>
      <w:proofErr w:type="gramStart"/>
      <w:r>
        <w:t>this</w:t>
      </w:r>
      <w:proofErr w:type="gramEnd"/>
      <w:r>
        <w:t xml:space="preserve"> Policy. These expectations were identified through an open and ongoing dialogue with our principal shareholders and </w:t>
      </w:r>
      <w:r>
        <w:rPr>
          <w:i/>
        </w:rPr>
        <w:t>proxy advisors</w:t>
      </w:r>
      <w:r>
        <w:t>. Evidence of this</w:t>
      </w:r>
      <w:r>
        <w:rPr>
          <w:sz w:val="22"/>
        </w:rPr>
        <w:t xml:space="preserve"> </w:t>
      </w:r>
      <w:r>
        <w:t>can be seen in the fact that the two leading proxy advisors have issued recommendations in favour of its approval by this General Shareholders' Meeting.</w:t>
      </w:r>
    </w:p>
    <w:p w14:paraId="0A31D200" w14:textId="77777777" w:rsidR="003F655F" w:rsidRPr="00FA13E5" w:rsidRDefault="00FA13E5">
      <w:pPr>
        <w:pStyle w:val="Textoindependiente"/>
        <w:spacing w:before="120" w:line="259" w:lineRule="auto"/>
        <w:ind w:right="116"/>
      </w:pPr>
      <w:r>
        <w:t xml:space="preserve">In addition, I would like to stress that all the </w:t>
      </w:r>
      <w:r>
        <w:rPr>
          <w:b/>
        </w:rPr>
        <w:t xml:space="preserve">recommendations contained in the Good Governance Code </w:t>
      </w:r>
      <w:r>
        <w:t>have received careful attention from the Board of Directors throughout this period. Since our last General Meeting, the Company has fully complied with all applicable recommendations, with just two exceptions - both of which have already been disclosed in our Annual Corporate Governance Report.</w:t>
      </w:r>
    </w:p>
    <w:p w14:paraId="34520C2A" w14:textId="77777777" w:rsidR="003F655F" w:rsidRPr="00FA13E5" w:rsidRDefault="00FA13E5">
      <w:pPr>
        <w:pStyle w:val="Textoindependiente"/>
        <w:spacing w:before="118" w:line="259" w:lineRule="auto"/>
        <w:ind w:right="116"/>
      </w:pPr>
      <w:r>
        <w:t xml:space="preserve">The first is </w:t>
      </w:r>
      <w:r>
        <w:rPr>
          <w:b/>
        </w:rPr>
        <w:t xml:space="preserve">Recommendation 17 </w:t>
      </w:r>
      <w:r>
        <w:t>(which states that independent directors should make up at least one-third of the board for companies outside the large-cap category). At the close of the 2025 financial year, the percentage of directors in this classification on the Board was slightly below the recommended threshold. This meant that we could not report full compliance with this recommendation in the Annual Corporate Governance Report.</w:t>
      </w:r>
    </w:p>
    <w:p w14:paraId="4AA969A5" w14:textId="77777777" w:rsidR="003F655F" w:rsidRPr="00FA13E5" w:rsidRDefault="00FA13E5">
      <w:pPr>
        <w:pStyle w:val="Textoindependiente"/>
        <w:spacing w:before="120" w:line="259" w:lineRule="auto"/>
        <w:ind w:right="114"/>
      </w:pPr>
      <w:r>
        <w:t>That said, the Board remains committed to a process of gradual renewal. Our goal is to steadily align our composition with best practices, striking the right balance between the different categories of directors while preserving board stability and managerial continuity.</w:t>
      </w:r>
    </w:p>
    <w:p w14:paraId="6046B63B" w14:textId="77777777" w:rsidR="003F655F" w:rsidRPr="00FA13E5" w:rsidRDefault="00FA13E5">
      <w:pPr>
        <w:pStyle w:val="Textoindependiente"/>
        <w:spacing w:before="118" w:line="259" w:lineRule="auto"/>
        <w:ind w:right="113"/>
      </w:pPr>
      <w:r>
        <w:t>In this regard, the proposals to set the number of directors at ten and to re-elect one of the directors whose term expires at this General Shareholders' Meeting are being submitted for your approval today under Items 5.1 and 5.2 of the agenda. If approved, these proposals will result in two vacancies, giving us the opportunity to continue advancing towards the highest corporate governance standards.</w:t>
      </w:r>
    </w:p>
    <w:p w14:paraId="13C9E6BA" w14:textId="77777777" w:rsidR="003F655F" w:rsidRPr="00FA13E5" w:rsidRDefault="00FA13E5">
      <w:pPr>
        <w:pStyle w:val="Textoindependiente"/>
        <w:spacing w:before="119" w:line="259" w:lineRule="auto"/>
        <w:ind w:right="112"/>
      </w:pPr>
      <w:r>
        <w:t xml:space="preserve">With respect to </w:t>
      </w:r>
      <w:r>
        <w:rPr>
          <w:b/>
        </w:rPr>
        <w:t xml:space="preserve">Recommendation 61, </w:t>
      </w:r>
      <w:r>
        <w:t>which calls for a significant portion of the variable remuneration of executive directors to be paid in the form of shares or financial instruments referenced to their value, it should be noted that, although this option was included in the current Remuneration Policy, long-term remuneration plan currently in force, approved in 2023 for a four-year period, does not provide for this form of payment.</w:t>
      </w:r>
    </w:p>
    <w:p w14:paraId="43A5399F" w14:textId="77777777" w:rsidR="003F655F" w:rsidRPr="00FA13E5" w:rsidRDefault="00FA13E5">
      <w:pPr>
        <w:pStyle w:val="Textoindependiente"/>
        <w:spacing w:before="120" w:line="259" w:lineRule="auto"/>
        <w:ind w:right="112"/>
      </w:pPr>
      <w:r>
        <w:t xml:space="preserve">However, in line with the expectations expressed by shareholders, investors and </w:t>
      </w:r>
      <w:r>
        <w:rPr>
          <w:i/>
        </w:rPr>
        <w:t xml:space="preserve">proxy advisors, </w:t>
      </w:r>
      <w:r>
        <w:t>the new Remuneration Policy proposal submitted today introduces a mandatory share-based payment component for a significant proportion of executive directors' multi-year incentives. This will enable us to comply with this recommendation.</w:t>
      </w:r>
    </w:p>
    <w:p w14:paraId="34A0709D" w14:textId="77777777" w:rsidR="003F655F" w:rsidRPr="00FA13E5" w:rsidRDefault="003F655F">
      <w:pPr>
        <w:pStyle w:val="Textoindependiente"/>
        <w:spacing w:before="117" w:line="278" w:lineRule="auto"/>
        <w:ind w:right="113"/>
      </w:pPr>
    </w:p>
    <w:p w14:paraId="0A0D0770" w14:textId="77777777" w:rsidR="003F655F" w:rsidRPr="00FA13E5" w:rsidRDefault="003F655F">
      <w:pPr>
        <w:spacing w:line="278" w:lineRule="auto"/>
        <w:sectPr w:rsidR="003F655F" w:rsidRPr="00FA13E5">
          <w:pgSz w:w="11910" w:h="16840"/>
          <w:pgMar w:top="1320" w:right="1580" w:bottom="280" w:left="1600" w:header="715" w:footer="0" w:gutter="0"/>
          <w:cols w:space="720"/>
        </w:sectPr>
      </w:pPr>
    </w:p>
    <w:p w14:paraId="30E30358" w14:textId="77777777" w:rsidR="003F655F" w:rsidRPr="00FA13E5" w:rsidRDefault="00FA13E5">
      <w:pPr>
        <w:pStyle w:val="Textoindependiente"/>
        <w:spacing w:before="82" w:line="276" w:lineRule="auto"/>
        <w:ind w:right="113"/>
      </w:pPr>
      <w:r>
        <w:lastRenderedPageBreak/>
        <w:t xml:space="preserve">Finally, regarding </w:t>
      </w:r>
      <w:r>
        <w:rPr>
          <w:b/>
        </w:rPr>
        <w:t>gender diversity</w:t>
      </w:r>
      <w:r>
        <w:t>, I am pleased to report that CAF has once again maintained a minimum of 40% female representation on the Board of Directors. This means that we are complying with Recommendation 15 of the Good Governance Code and the requirements set out in the Spanish Companies Act, and we have achieved this ahead of the implementation deadline.</w:t>
      </w:r>
    </w:p>
    <w:p w14:paraId="10040E87" w14:textId="77777777" w:rsidR="003F655F" w:rsidRPr="00FA13E5" w:rsidRDefault="00FA13E5">
      <w:pPr>
        <w:pStyle w:val="Textoindependiente"/>
        <w:spacing w:before="121" w:line="259" w:lineRule="auto"/>
        <w:ind w:right="114"/>
      </w:pPr>
      <w:r>
        <w:t xml:space="preserve">Furthermore, with regard to the </w:t>
      </w:r>
      <w:r>
        <w:rPr>
          <w:b/>
        </w:rPr>
        <w:t>Corporate Compliance System</w:t>
      </w:r>
      <w:r>
        <w:t>, the Compliance Function approved an updated version of the Crime Prevention Manual during the 2025 financial year. This updated version further develops the previously approved Crime Prevention and Anti-Corruption and Fraud Policy. Specific training on this matter was provided to the Board of Directors, and training programmes for the other target groups are planned for the near future.</w:t>
      </w:r>
    </w:p>
    <w:p w14:paraId="06AE166E" w14:textId="77777777" w:rsidR="003F655F" w:rsidRPr="00FA13E5" w:rsidRDefault="00FA13E5">
      <w:pPr>
        <w:spacing w:before="119" w:line="259" w:lineRule="auto"/>
        <w:ind w:left="102" w:right="114"/>
        <w:jc w:val="both"/>
        <w:rPr>
          <w:sz w:val="24"/>
        </w:rPr>
      </w:pPr>
      <w:r>
        <w:rPr>
          <w:sz w:val="24"/>
        </w:rPr>
        <w:t xml:space="preserve">Similarly, as further evidence of CAF’s commitment to ethics and compliance, the </w:t>
      </w:r>
      <w:r>
        <w:rPr>
          <w:b/>
          <w:sz w:val="24"/>
        </w:rPr>
        <w:t>Human Rights and International Sanctions Due Diligence process</w:t>
      </w:r>
      <w:r>
        <w:rPr>
          <w:sz w:val="24"/>
        </w:rPr>
        <w:t xml:space="preserve"> was updated in 2025 to enhance the use of artificial intelligence for data screening and due diligence analysis.</w:t>
      </w:r>
    </w:p>
    <w:p w14:paraId="5F9F3514" w14:textId="77777777" w:rsidR="003F655F" w:rsidRPr="00FA13E5" w:rsidRDefault="00FA13E5">
      <w:pPr>
        <w:pStyle w:val="Textoindependiente"/>
        <w:spacing w:before="118"/>
        <w:ind w:right="112"/>
      </w:pPr>
      <w:r>
        <w:t xml:space="preserve">These actions strengthen our </w:t>
      </w:r>
      <w:r>
        <w:rPr>
          <w:b/>
        </w:rPr>
        <w:t>Corporate Governance model</w:t>
      </w:r>
      <w:r>
        <w:t>, which is based on regulatory compliance, respect for human rights and adherence to the strictest ethical standards. The model focuses on protecting corporate interests and creating sustainable value. This is all fully in line with the General Principles of our Code of Conduct, which constantly govern the actions of the CAF Group and its value chain.</w:t>
      </w:r>
    </w:p>
    <w:p w14:paraId="79C4262A" w14:textId="36A8A9FB" w:rsidR="003F655F" w:rsidRPr="00FA13E5" w:rsidRDefault="00FA13E5" w:rsidP="00FA13E5">
      <w:pPr>
        <w:pStyle w:val="Textoindependiente"/>
        <w:spacing w:before="121"/>
        <w:ind w:right="123"/>
      </w:pPr>
      <w:r>
        <w:t xml:space="preserve">Before handing over, I would like to express, on behalf of the Board of Directors and myself, our most sincere thanks to Mr </w:t>
      </w:r>
      <w:r w:rsidR="00911950">
        <w:t xml:space="preserve">Luis </w:t>
      </w:r>
      <w:proofErr w:type="spellStart"/>
      <w:r w:rsidR="00911950">
        <w:t>Arconada</w:t>
      </w:r>
      <w:proofErr w:type="spellEnd"/>
      <w:r>
        <w:t xml:space="preserve"> and Mr </w:t>
      </w:r>
      <w:r w:rsidR="00911950">
        <w:t>Juan José Arrieta</w:t>
      </w:r>
      <w:r>
        <w:t xml:space="preserve"> for their invaluable contribution to the Board over the years. During this time, they have shown unwavering dedication and commitment to the Company.</w:t>
      </w:r>
    </w:p>
    <w:p w14:paraId="74F91AA8" w14:textId="77777777" w:rsidR="003F655F" w:rsidRPr="00FA13E5" w:rsidRDefault="00FA13E5">
      <w:pPr>
        <w:pStyle w:val="Textoindependiente"/>
        <w:spacing w:before="120"/>
        <w:ind w:right="114"/>
      </w:pPr>
      <w:r>
        <w:t>I will now hand over to our Chief Executive Officer, who will provide you with an update on business developments since the last General Shareholders’ Meeting and the results for the 2025 financial year, which we are submitting for your consideration today.</w:t>
      </w:r>
    </w:p>
    <w:p w14:paraId="1380938C" w14:textId="77777777" w:rsidR="003F655F" w:rsidRPr="00FA13E5" w:rsidRDefault="003F655F">
      <w:pPr>
        <w:pStyle w:val="Textoindependiente"/>
        <w:ind w:left="0"/>
        <w:jc w:val="left"/>
        <w:rPr>
          <w:sz w:val="26"/>
        </w:rPr>
      </w:pPr>
    </w:p>
    <w:p w14:paraId="46A926B8" w14:textId="77777777" w:rsidR="003F655F" w:rsidRPr="00FA13E5" w:rsidRDefault="00FA13E5">
      <w:pPr>
        <w:pStyle w:val="Textoindependiente"/>
        <w:spacing w:before="217"/>
      </w:pPr>
      <w:r>
        <w:t>Thank you all very much.</w:t>
      </w:r>
    </w:p>
    <w:p w14:paraId="623F37E9" w14:textId="77777777" w:rsidR="003F655F" w:rsidRPr="00FA13E5" w:rsidRDefault="003F655F">
      <w:pPr>
        <w:pStyle w:val="Textoindependiente"/>
        <w:ind w:left="0"/>
        <w:jc w:val="left"/>
        <w:rPr>
          <w:sz w:val="20"/>
        </w:rPr>
      </w:pPr>
    </w:p>
    <w:p w14:paraId="2E50C208" w14:textId="77777777" w:rsidR="003F655F" w:rsidRPr="00FA13E5" w:rsidRDefault="003F655F">
      <w:pPr>
        <w:pStyle w:val="Textoindependiente"/>
        <w:ind w:left="0"/>
        <w:jc w:val="left"/>
        <w:rPr>
          <w:sz w:val="20"/>
        </w:rPr>
      </w:pPr>
    </w:p>
    <w:p w14:paraId="6B308552" w14:textId="77777777" w:rsidR="003F655F" w:rsidRPr="00FA13E5" w:rsidRDefault="003F655F">
      <w:pPr>
        <w:pStyle w:val="Textoindependiente"/>
        <w:ind w:left="0"/>
        <w:jc w:val="left"/>
        <w:rPr>
          <w:sz w:val="20"/>
        </w:rPr>
      </w:pPr>
    </w:p>
    <w:p w14:paraId="3F778184" w14:textId="77777777" w:rsidR="003F655F" w:rsidRPr="00FA13E5" w:rsidRDefault="003F655F">
      <w:pPr>
        <w:pStyle w:val="Textoindependiente"/>
        <w:ind w:left="0"/>
        <w:jc w:val="left"/>
        <w:rPr>
          <w:sz w:val="20"/>
        </w:rPr>
      </w:pPr>
    </w:p>
    <w:p w14:paraId="66B07FFD" w14:textId="77777777" w:rsidR="003F655F" w:rsidRPr="00FA13E5" w:rsidRDefault="00000000">
      <w:pPr>
        <w:pStyle w:val="Textoindependiente"/>
        <w:spacing w:before="1"/>
        <w:ind w:left="0"/>
        <w:jc w:val="left"/>
      </w:pPr>
      <w:r>
        <w:pict w14:anchorId="1C2B015A">
          <v:shape id="docshape4" o:spid="_x0000_s2050" style="position:absolute;margin-left:197.55pt;margin-top:15.05pt;width:200.05pt;height:.1pt;z-index:-251658752;mso-wrap-distance-left:0;mso-wrap-distance-right:0;mso-position-horizontal-relative:page" coordorigin="3951,301" coordsize="4001,0" path="m3951,301r4001,e" filled="f" strokeweight=".26669mm">
            <v:path arrowok="t"/>
            <w10:wrap type="topAndBottom" anchorx="page"/>
          </v:shape>
        </w:pict>
      </w:r>
    </w:p>
    <w:sectPr w:rsidR="003F655F" w:rsidRPr="00FA13E5">
      <w:pgSz w:w="11910" w:h="16840"/>
      <w:pgMar w:top="1320" w:right="1580" w:bottom="280" w:left="160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32FF" w14:textId="77777777" w:rsidR="004F06C1" w:rsidRDefault="004F06C1">
      <w:r>
        <w:separator/>
      </w:r>
    </w:p>
  </w:endnote>
  <w:endnote w:type="continuationSeparator" w:id="0">
    <w:p w14:paraId="179B9180" w14:textId="77777777" w:rsidR="004F06C1" w:rsidRDefault="004F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9065" w14:textId="77777777" w:rsidR="004F06C1" w:rsidRDefault="004F06C1">
      <w:r>
        <w:separator/>
      </w:r>
    </w:p>
  </w:footnote>
  <w:footnote w:type="continuationSeparator" w:id="0">
    <w:p w14:paraId="622C7F4C" w14:textId="77777777" w:rsidR="004F06C1" w:rsidRDefault="004F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3D32" w14:textId="77777777" w:rsidR="003F655F" w:rsidRDefault="00000000">
    <w:pPr>
      <w:pStyle w:val="Textoindependiente"/>
      <w:spacing w:line="14" w:lineRule="auto"/>
      <w:ind w:left="0"/>
      <w:jc w:val="left"/>
      <w:rPr>
        <w:sz w:val="20"/>
      </w:rPr>
    </w:pPr>
    <w:r>
      <w:pict w14:anchorId="4A4A215E">
        <v:shapetype id="_x0000_t202" coordsize="21600,21600" o:spt="202" path="m,l,21600r21600,l21600,xe">
          <v:stroke joinstyle="miter"/>
          <v:path gradientshapeok="t" o:connecttype="rect"/>
        </v:shapetype>
        <v:shape id="docshape1" o:spid="_x0000_s1025" type="#_x0000_t202" style="position:absolute;margin-left:426.9pt;margin-top:34.75pt;width:84.45pt;height:17.7pt;z-index:-251658752;mso-position-horizontal-relative:page;mso-position-vertical-relative:page" filled="f" stroked="f">
          <v:textbox inset="0,0,0,0">
            <w:txbxContent>
              <w:p w14:paraId="18EEF588" w14:textId="5DFF9874" w:rsidR="003F655F" w:rsidRDefault="003F655F">
                <w:pPr>
                  <w:spacing w:before="11"/>
                  <w:ind w:left="20"/>
                  <w:rPr>
                    <w:b/>
                    <w:sz w:val="28"/>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655F"/>
    <w:rsid w:val="003F655F"/>
    <w:rsid w:val="004F06C1"/>
    <w:rsid w:val="00850EBB"/>
    <w:rsid w:val="00911950"/>
    <w:rsid w:val="00E14B3E"/>
    <w:rsid w:val="00E7004E"/>
    <w:rsid w:val="00FA13E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7D7C50"/>
  <w15:docId w15:val="{299E5325-2271-404A-AA2F-B4A3579C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jc w:val="both"/>
    </w:pPr>
    <w:rPr>
      <w:sz w:val="24"/>
      <w:szCs w:val="24"/>
    </w:rPr>
  </w:style>
  <w:style w:type="paragraph" w:styleId="Ttulo">
    <w:name w:val="Title"/>
    <w:basedOn w:val="Normal"/>
    <w:uiPriority w:val="1"/>
    <w:qFormat/>
    <w:pPr>
      <w:spacing w:before="11"/>
      <w:ind w:left="20"/>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11950"/>
    <w:pPr>
      <w:tabs>
        <w:tab w:val="center" w:pos="4252"/>
        <w:tab w:val="right" w:pos="8504"/>
      </w:tabs>
    </w:pPr>
  </w:style>
  <w:style w:type="character" w:customStyle="1" w:styleId="EncabezadoCar">
    <w:name w:val="Encabezado Car"/>
    <w:basedOn w:val="Fuentedeprrafopredeter"/>
    <w:link w:val="Encabezado"/>
    <w:uiPriority w:val="99"/>
    <w:rsid w:val="00911950"/>
    <w:rPr>
      <w:rFonts w:ascii="Arial" w:eastAsia="Arial" w:hAnsi="Arial" w:cs="Arial"/>
    </w:rPr>
  </w:style>
  <w:style w:type="paragraph" w:styleId="Piedepgina">
    <w:name w:val="footer"/>
    <w:basedOn w:val="Normal"/>
    <w:link w:val="PiedepginaCar"/>
    <w:uiPriority w:val="99"/>
    <w:unhideWhenUsed/>
    <w:rsid w:val="00911950"/>
    <w:pPr>
      <w:tabs>
        <w:tab w:val="center" w:pos="4252"/>
        <w:tab w:val="right" w:pos="8504"/>
      </w:tabs>
    </w:pPr>
  </w:style>
  <w:style w:type="character" w:customStyle="1" w:styleId="PiedepginaCar">
    <w:name w:val="Pie de página Car"/>
    <w:basedOn w:val="Fuentedeprrafopredeter"/>
    <w:link w:val="Piedepgina"/>
    <w:uiPriority w:val="99"/>
    <w:rsid w:val="0091195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1134</Words>
  <Characters>6240</Characters>
  <Application>Microsoft Office Word</Application>
  <DocSecurity>0</DocSecurity>
  <Lines>52</Lines>
  <Paragraphs>14</Paragraphs>
  <ScaleCrop>false</ScaleCrop>
  <Company>HP Inc.</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De Diego</dc:creator>
  <cp:lastModifiedBy>AINHOA Lizarralde</cp:lastModifiedBy>
  <cp:revision>4</cp:revision>
  <dcterms:created xsi:type="dcterms:W3CDTF">2026-05-29T07:30:00Z</dcterms:created>
  <dcterms:modified xsi:type="dcterms:W3CDTF">2026-06-09T08:22:00Z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Creator">
    <vt:lpwstr>Microsoft® Word para Microsoft 365</vt:lpwstr>
  </property>
  <property fmtid="{D5CDD505-2E9C-101B-9397-08002B2CF9AE}" pid="4" name="LastSaved">
    <vt:filetime>2026-05-29T00:00:00Z</vt:filetime>
  </property>
  <property fmtid="{D5CDD505-2E9C-101B-9397-08002B2CF9AE}" pid="5" name="Producer">
    <vt:lpwstr>Microsoft® Word para Microsoft 365</vt:lpwstr>
  </property>
</Properties>
</file>